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top="1426" w:header="851" w:footer="992" w:left="1799" w:right="1711" w:bottom="99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2172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财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税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279" w:lineRule="exact" w:before="17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1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0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论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账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证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簿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</w:p>
    <w:p w:rsidR="003B16EC" w:rsidRDefault="009F647A">
      <w:pPr>
        <w:spacing w:beforeAutospacing="off" w:afterAutospacing="off" w:line="4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711" w:bottom="992" w:left="1799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1" w:bottom="992" w:left="1799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footer="992" w:left="1799" w:right="1697" w:bottom="99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6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10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2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率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识</w:t>
      </w:r>
    </w:p>
    <w:p w:rsidR="003B16EC" w:rsidRDefault="009F647A">
      <w:pPr>
        <w:spacing w:beforeAutospacing="off" w:afterAutospacing="off" w:line="4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697" w:bottom="992" w:left="1799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92" w:left="1799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footer="992" w:left="1799" w:bottom="99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054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衡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策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305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支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054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3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论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844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3264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474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4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92" w:left="1799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99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footer="992" w:left="1799" w:bottom="99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2424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424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273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4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企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金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货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992" w:left="1799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99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footer="992" w:left="1799" w:bottom="99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55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债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165" w:firstLineChars="0"/>
        <w:numPr>
          <w:ilvl w:val="0"/>
          <w:numId w:val="3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债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益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润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5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43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800" w:bottom="992" w:left="1799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99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footer="992" w:left="1799" w:bottom="99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报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2424" w:firstLineChars="0"/>
        <w:numPr>
          <w:ilvl w:val="0"/>
          <w:numId w:val="3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报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2424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报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报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844" w:firstLineChars="0"/>
        <w:numPr>
          <w:ilvl w:val="0"/>
          <w:numId w:val="4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报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6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规</w:t>
      </w:r>
    </w:p>
    <w:p w:rsidR="003B16EC" w:rsidRDefault="009F647A">
      <w:pPr>
        <w:spacing w:beforeAutospacing="off" w:afterAutospacing="off" w:line="4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800" w:bottom="992" w:left="1799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92" w:left="1799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footer="992" w:left="1799" w:right="1698" w:bottom="992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8" w:firstLineChars="0"/>
        <w:numPr>
          <w:ilvl w:val="0"/>
          <w:numId w:val="4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度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8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8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度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80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698" w:bottom="992" w:left="1799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92" w:left="1799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footer="992" w:left="1799" w:right="1698" w:bottom="992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式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80" w:lineRule="exact" w:before="20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型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55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3" w:lineRule="exact"/>
        <w:autoSpaceDE w:val="off"/>
        <w:autoSpaceDN w:val="off"/>
        <w:rPr>
          <w:rFonts w:hint="eastAsia"/>
        </w:rPr>
        <w:bidi w:val="off"/>
        <w:jc w:val="left"/>
        <w:ind w:firstLine="42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2023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92" w:left="1799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061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698" w:bottom="992" w:left="1799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992" w:left="1799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footer="992" w:left="1799" w:right="1596" w:bottom="992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2172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财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税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279" w:lineRule="exact" w:before="17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一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-1"/>
          <w:w w:val="101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业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务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-1"/>
          <w:w w:val="101"/>
        </w:rPr>
        <w:t w:space="preserve">范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围</w:t>
      </w:r>
    </w:p>
    <w:p w:rsidR="003B16EC" w:rsidRDefault="009F647A">
      <w:pPr>
        <w:spacing w:beforeAutospacing="off" w:afterAutospacing="off" w:line="210" w:lineRule="exact" w:before="22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10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110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10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10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8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6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二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-1"/>
          <w:w w:val="101"/>
        </w:rPr>
        <w:t w:space="preserve">考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试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-1"/>
          <w:w w:val="101"/>
        </w:rPr>
        <w:t w:space="preserve">模</w:t>
      </w:r>
      <w:r>
        <w:rPr>
          <w:bCs w:val="on"/>
          <w:kern w:val="0"/>
          <w:color w:val="000000"/>
          <w:b/>
          <w:rFonts w:ascii="黑体" w:cs="黑体" w:hAnsi="黑体" w:eastAsia="黑体"/>
          <w:sz w:val="24"/>
          <w:spacing w:val="0"/>
        </w:rPr>
        <w:t w:space="preserve">块</w:t>
      </w:r>
    </w:p>
    <w:p w:rsidR="003B16EC" w:rsidRDefault="009F647A">
      <w:pPr>
        <w:spacing w:beforeAutospacing="off" w:afterAutospacing="off" w:line="240" w:lineRule="exact" w:before="22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1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7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596" w:bottom="992" w:left="1799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6" w:bottom="992" w:left="1799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footer="992" w:left="1799" w:right="1697" w:bottom="992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2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薪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3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2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77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</w:p>
    <w:sectPr>
      <w:pgSz w:w="11900" w:h="16840"/>
      <w:pgMar w:top="1426" w:right="1697" w:bottom="992" w:left="1799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92" w:left="1799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footer="992" w:left="1799" w:right="1702" w:bottom="992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40" w:lineRule="exact" w:before="4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4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5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6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报</w:t>
      </w:r>
    </w:p>
    <w:p w:rsidR="003B16EC" w:rsidRDefault="009F647A">
      <w:pPr>
        <w:spacing w:beforeAutospacing="off" w:afterAutospacing="off" w:line="210" w:lineRule="exact" w:before="22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1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50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11</w:t>
      </w:r>
    </w:p>
    <w:sectPr>
      <w:pgSz w:w="11900" w:h="16840"/>
      <w:pgMar w:top="1426" w:right="1702" w:bottom="992" w:left="1799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2" w:bottom="992" w:left="1799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footer="992" w:left="1799" w:right="1697" w:bottom="992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5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7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8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点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钞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80" w:lineRule="exact" w:before="20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备</w:t>
      </w:r>
    </w:p>
    <w:p w:rsidR="003B16EC" w:rsidRDefault="009F647A">
      <w:pPr>
        <w:spacing w:beforeAutospacing="off" w:afterAutospacing="off" w:line="2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9"/>
        </w:rPr>
        <w:t w:space="preserve">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2.2G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HZ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16G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480G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Server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HZ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5"/>
        </w:rPr>
        <w:t w:space="preserve">500G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Chrome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ABC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6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12" w:lineRule="exact"/>
        <w:autoSpaceDE w:val="off"/>
        <w:autoSpaceDN w:val="off"/>
        <w:rPr>
          <w:rFonts w:hint="eastAsia"/>
        </w:rPr>
        <w:bidi w:val="off"/>
        <w:jc w:val="left"/>
        <w:ind w:firstLine="42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2022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4"/>
        </w:rPr>
        <w:t w:space="preserve"> 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30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92" w:left="1799" w:header="851" w:footer="99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56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12</w:t>
      </w:r>
    </w:p>
    <w:sectPr>
      <w:pgSz w:w="11900" w:h="16840"/>
      <w:pgMar w:top="1426" w:right="1697" w:bottom="992" w:left="1799" w:header="851" w:footer="99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%1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-1"/>
        <w:w w:val="91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12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