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right="1800" w:top="1426" w:header="851" w:left="1799" w:bottom="912" w:footer="91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right="1130" w:firstLine="127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公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共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9"/>
          <w:w w:val="95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100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会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化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谐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53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40" w:lineRule="exact" w:before="4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2948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263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系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众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30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播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告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关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2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03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93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8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度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7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592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30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326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查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骤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347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巧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80" w:lineRule="exact" w:before="20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5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49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495" w:lineRule="exact"/>
        <w:autoSpaceDE w:val="off"/>
        <w:autoSpaceDN w:val="off"/>
        <w:rPr>
          <w:rFonts w:hint="eastAsia"/>
        </w:rPr>
        <w:bidi w:val="off"/>
        <w:jc w:val="left"/>
        <w:ind w:right="1357" w:firstLine="127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公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共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7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3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0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7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-9"/>
          <w:w w:val="95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Office2016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共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Office2016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1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912" w:footer="912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Office2016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Office2016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593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Office2016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务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Office2016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114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37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97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8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8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8"/>
        <w:w w:val="92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10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