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62484" w14:textId="77777777" w:rsidR="00000000" w:rsidRDefault="00000000">
      <w:pPr>
        <w:rPr>
          <w:rFonts w:ascii="仿宋_GB2312" w:eastAsia="仿宋_GB2312" w:hAnsi="仿宋_GB2312" w:hint="eastAsia"/>
          <w:sz w:val="32"/>
        </w:rPr>
      </w:pPr>
      <w:r>
        <w:rPr>
          <w:rFonts w:ascii="仿宋_GB2312" w:eastAsia="仿宋_GB2312" w:hAnsi="仿宋_GB2312" w:hint="eastAsia"/>
          <w:sz w:val="32"/>
        </w:rPr>
        <w:t xml:space="preserve">           </w:t>
      </w:r>
    </w:p>
    <w:p w14:paraId="5283AEF9" w14:textId="77777777" w:rsidR="00000000" w:rsidRDefault="00000000">
      <w:pPr>
        <w:rPr>
          <w:rFonts w:ascii="仿宋_GB2312" w:eastAsia="仿宋_GB2312" w:hAnsi="仿宋_GB2312" w:hint="eastAsia"/>
          <w:sz w:val="32"/>
        </w:rPr>
      </w:pPr>
    </w:p>
    <w:p w14:paraId="20DC6A30" w14:textId="77777777" w:rsidR="00000000" w:rsidRDefault="00000000">
      <w:pPr>
        <w:rPr>
          <w:rFonts w:ascii="仿宋_GB2312" w:eastAsia="仿宋_GB2312" w:hAnsi="仿宋_GB2312" w:hint="eastAsia"/>
          <w:sz w:val="32"/>
        </w:rPr>
      </w:pPr>
    </w:p>
    <w:p w14:paraId="42E28436"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诸城市超然综合高级中学</w:t>
      </w:r>
    </w:p>
    <w:p w14:paraId="06F6DE1E" w14:textId="77777777" w:rsidR="00000000" w:rsidRDefault="00000000">
      <w:pPr>
        <w:jc w:val="center"/>
        <w:rPr>
          <w:rFonts w:ascii="方正小标宋简体" w:eastAsia="方正小标宋简体" w:hint="eastAsia"/>
          <w:sz w:val="72"/>
          <w:szCs w:val="72"/>
        </w:rPr>
      </w:pPr>
      <w:r>
        <w:rPr>
          <w:rFonts w:ascii="方正小标宋简体" w:eastAsia="方正小标宋简体" w:hint="eastAsia"/>
          <w:sz w:val="72"/>
          <w:szCs w:val="72"/>
        </w:rPr>
        <w:t>老年人服务与管理专业</w:t>
      </w:r>
    </w:p>
    <w:p w14:paraId="47B3D7D9" w14:textId="77777777" w:rsidR="00000000" w:rsidRDefault="00000000">
      <w:pPr>
        <w:jc w:val="center"/>
        <w:rPr>
          <w:rFonts w:ascii="黑体" w:eastAsia="黑体" w:hAnsi="黑体" w:hint="eastAsia"/>
          <w:sz w:val="44"/>
          <w:szCs w:val="44"/>
        </w:rPr>
      </w:pPr>
      <w:r>
        <w:rPr>
          <w:rFonts w:ascii="方正小标宋简体" w:eastAsia="方正小标宋简体" w:hint="eastAsia"/>
          <w:sz w:val="72"/>
          <w:szCs w:val="72"/>
        </w:rPr>
        <w:t>人才培养方案</w:t>
      </w:r>
    </w:p>
    <w:p w14:paraId="596C8D73" w14:textId="77777777" w:rsidR="00000000" w:rsidRDefault="00000000">
      <w:pPr>
        <w:jc w:val="center"/>
        <w:rPr>
          <w:rFonts w:ascii="黑体" w:eastAsia="黑体" w:hAnsi="黑体" w:hint="eastAsia"/>
          <w:sz w:val="44"/>
          <w:szCs w:val="44"/>
        </w:rPr>
      </w:pPr>
    </w:p>
    <w:p w14:paraId="347B6B04" w14:textId="77777777" w:rsidR="00000000" w:rsidRDefault="00000000">
      <w:pPr>
        <w:jc w:val="center"/>
        <w:rPr>
          <w:rFonts w:ascii="黑体" w:eastAsia="黑体" w:hAnsi="黑体" w:hint="eastAsia"/>
          <w:sz w:val="44"/>
          <w:szCs w:val="44"/>
        </w:rPr>
      </w:pPr>
    </w:p>
    <w:p w14:paraId="7DC5440D" w14:textId="77777777" w:rsidR="00000000" w:rsidRDefault="00000000">
      <w:pPr>
        <w:jc w:val="center"/>
        <w:rPr>
          <w:rFonts w:ascii="黑体" w:eastAsia="黑体" w:hAnsi="黑体" w:hint="eastAsia"/>
          <w:sz w:val="44"/>
          <w:szCs w:val="44"/>
        </w:rPr>
      </w:pPr>
    </w:p>
    <w:p w14:paraId="13D0B17E" w14:textId="77777777" w:rsidR="00000000" w:rsidRDefault="00000000">
      <w:pPr>
        <w:jc w:val="center"/>
        <w:rPr>
          <w:rFonts w:ascii="黑体" w:eastAsia="黑体" w:hAnsi="黑体" w:hint="eastAsia"/>
          <w:sz w:val="44"/>
          <w:szCs w:val="44"/>
        </w:rPr>
      </w:pPr>
    </w:p>
    <w:p w14:paraId="4835F189" w14:textId="77777777" w:rsidR="00000000" w:rsidRDefault="00000000">
      <w:pPr>
        <w:jc w:val="center"/>
        <w:rPr>
          <w:rFonts w:ascii="黑体" w:eastAsia="黑体" w:hAnsi="黑体" w:hint="eastAsia"/>
          <w:sz w:val="44"/>
          <w:szCs w:val="44"/>
        </w:rPr>
      </w:pPr>
    </w:p>
    <w:p w14:paraId="587FE88A" w14:textId="77777777" w:rsidR="00000000" w:rsidRDefault="00000000">
      <w:pPr>
        <w:jc w:val="center"/>
        <w:rPr>
          <w:rFonts w:ascii="黑体" w:eastAsia="黑体" w:hAnsi="黑体" w:hint="eastAsia"/>
          <w:sz w:val="44"/>
          <w:szCs w:val="44"/>
        </w:rPr>
      </w:pPr>
    </w:p>
    <w:p w14:paraId="3E08D2D2" w14:textId="77777777" w:rsidR="00000000" w:rsidRDefault="00000000">
      <w:pPr>
        <w:jc w:val="center"/>
        <w:rPr>
          <w:rFonts w:ascii="黑体" w:eastAsia="黑体" w:hAnsi="黑体" w:hint="eastAsia"/>
          <w:sz w:val="44"/>
          <w:szCs w:val="44"/>
        </w:rPr>
      </w:pPr>
    </w:p>
    <w:p w14:paraId="738C9036" w14:textId="77777777" w:rsidR="00000000" w:rsidRDefault="00000000">
      <w:pPr>
        <w:jc w:val="center"/>
        <w:rPr>
          <w:rFonts w:ascii="方正小标宋简体" w:eastAsia="方正小标宋简体"/>
          <w:sz w:val="44"/>
          <w:szCs w:val="44"/>
        </w:rPr>
      </w:pPr>
      <w:r>
        <w:rPr>
          <w:rFonts w:ascii="方正小标宋简体" w:eastAsia="方正小标宋简体" w:hint="eastAsia"/>
          <w:sz w:val="44"/>
          <w:szCs w:val="44"/>
        </w:rPr>
        <w:t>诸城市超然综合高级中学</w:t>
      </w:r>
    </w:p>
    <w:p w14:paraId="72856438" w14:textId="77777777" w:rsidR="00000000" w:rsidRDefault="00000000">
      <w:pPr>
        <w:jc w:val="center"/>
        <w:rPr>
          <w:rFonts w:ascii="黑体" w:eastAsia="黑体" w:hAnsi="黑体" w:hint="eastAsia"/>
          <w:sz w:val="44"/>
        </w:rPr>
        <w:sectPr w:rsidR="00000000">
          <w:headerReference w:type="even" r:id="rId7"/>
          <w:footerReference w:type="even" r:id="rId8"/>
          <w:footerReference w:type="default" r:id="rId9"/>
          <w:pgSz w:w="11906" w:h="16838"/>
          <w:pgMar w:top="1440" w:right="1800" w:bottom="1440" w:left="1800" w:header="851" w:footer="992" w:gutter="0"/>
          <w:cols w:space="720"/>
          <w:titlePg/>
          <w:docGrid w:type="lines" w:linePitch="312"/>
        </w:sectPr>
      </w:pPr>
      <w:r>
        <w:rPr>
          <w:rFonts w:ascii="方正小标宋简体" w:eastAsia="方正小标宋简体" w:hint="eastAsia"/>
          <w:sz w:val="44"/>
          <w:szCs w:val="44"/>
        </w:rPr>
        <w:t>2024年8月</w:t>
      </w:r>
    </w:p>
    <w:p w14:paraId="0262BB3F" w14:textId="77777777" w:rsidR="00000000" w:rsidRDefault="00000000">
      <w:pPr>
        <w:jc w:val="center"/>
        <w:rPr>
          <w:rFonts w:ascii="黑体" w:eastAsia="黑体" w:hAnsi="黑体" w:hint="eastAsia"/>
          <w:sz w:val="44"/>
        </w:rPr>
      </w:pPr>
      <w:r>
        <w:rPr>
          <w:rFonts w:ascii="黑体" w:eastAsia="黑体" w:hAnsi="黑体" w:hint="eastAsia"/>
          <w:sz w:val="44"/>
        </w:rPr>
        <w:lastRenderedPageBreak/>
        <w:t>老年人服务与管理专业人才培养方案</w:t>
      </w:r>
    </w:p>
    <w:p w14:paraId="20B61FF4"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一、专业名称及代码</w:t>
      </w:r>
    </w:p>
    <w:p w14:paraId="05F492BD" w14:textId="77777777" w:rsidR="00000000" w:rsidRDefault="00000000">
      <w:pPr>
        <w:overflowPunct w:val="0"/>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专业名称：老年人服务与管理</w:t>
      </w:r>
    </w:p>
    <w:p w14:paraId="12ADFE88" w14:textId="77777777" w:rsidR="00000000" w:rsidRDefault="00000000">
      <w:pPr>
        <w:spacing w:line="580" w:lineRule="exact"/>
        <w:ind w:firstLineChars="200" w:firstLine="640"/>
        <w:rPr>
          <w:rStyle w:val="a3"/>
          <w:rFonts w:ascii="Arial" w:hAnsi="Arial" w:cs="Arial"/>
          <w:color w:val="191919"/>
          <w:sz w:val="28"/>
        </w:rPr>
      </w:pPr>
      <w:r>
        <w:rPr>
          <w:rFonts w:ascii="仿宋_GB2312" w:eastAsia="仿宋_GB2312" w:hint="eastAsia"/>
          <w:sz w:val="32"/>
          <w:szCs w:val="32"/>
        </w:rPr>
        <w:t>专业代码：181400</w:t>
      </w:r>
    </w:p>
    <w:p w14:paraId="380A5EC7" w14:textId="77777777" w:rsidR="00000000" w:rsidRDefault="00000000">
      <w:pPr>
        <w:spacing w:line="580" w:lineRule="exact"/>
        <w:jc w:val="left"/>
        <w:rPr>
          <w:rFonts w:ascii="黑体" w:eastAsia="黑体" w:hAnsi="黑体"/>
          <w:sz w:val="32"/>
          <w:szCs w:val="32"/>
        </w:rPr>
      </w:pPr>
      <w:bookmarkStart w:id="0" w:name="_Toc30968"/>
      <w:bookmarkStart w:id="1" w:name="_Toc3349"/>
      <w:bookmarkStart w:id="2" w:name="_Toc17984"/>
      <w:bookmarkStart w:id="3" w:name="_Toc528154168"/>
      <w:r>
        <w:rPr>
          <w:rFonts w:ascii="黑体" w:eastAsia="黑体" w:hAnsi="黑体" w:hint="eastAsia"/>
          <w:sz w:val="32"/>
          <w:szCs w:val="32"/>
        </w:rPr>
        <w:t>二、</w:t>
      </w:r>
      <w:bookmarkEnd w:id="0"/>
      <w:bookmarkEnd w:id="1"/>
      <w:bookmarkEnd w:id="2"/>
      <w:bookmarkEnd w:id="3"/>
      <w:r>
        <w:rPr>
          <w:rFonts w:ascii="黑体" w:eastAsia="黑体" w:hAnsi="黑体" w:hint="eastAsia"/>
          <w:sz w:val="32"/>
          <w:szCs w:val="32"/>
        </w:rPr>
        <w:t>入学要求</w:t>
      </w:r>
    </w:p>
    <w:p w14:paraId="00E2DB0D"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招生对象:应届初中毕业生或具有同等学力者</w:t>
      </w:r>
    </w:p>
    <w:p w14:paraId="19FA44A3" w14:textId="77777777" w:rsidR="00000000" w:rsidRDefault="00000000">
      <w:pPr>
        <w:overflowPunct w:val="0"/>
        <w:adjustRightInd w:val="0"/>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办学层次:中职</w:t>
      </w:r>
    </w:p>
    <w:p w14:paraId="3127DC8F"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三、修业年限</w:t>
      </w:r>
    </w:p>
    <w:p w14:paraId="614539E5" w14:textId="77777777" w:rsidR="00000000" w:rsidRDefault="00000000">
      <w:pPr>
        <w:pStyle w:val="a5"/>
        <w:shd w:val="clear" w:color="auto" w:fill="FFFFFF"/>
        <w:spacing w:before="0" w:beforeAutospacing="0" w:after="0" w:afterAutospacing="0"/>
        <w:ind w:firstLineChars="200" w:firstLine="640"/>
        <w:rPr>
          <w:rFonts w:ascii="仿宋" w:eastAsia="仿宋" w:hAnsi="仿宋" w:hint="eastAsia"/>
          <w:sz w:val="32"/>
          <w:szCs w:val="32"/>
        </w:rPr>
      </w:pPr>
      <w:r>
        <w:rPr>
          <w:rFonts w:ascii="仿宋" w:eastAsia="仿宋" w:hAnsi="仿宋" w:hint="eastAsia"/>
          <w:sz w:val="32"/>
          <w:szCs w:val="32"/>
        </w:rPr>
        <w:t>3年。凡达到本专业的基本要求，提前修满学分并取得规定证书的学生，经审批可以提前离校进行实习。</w:t>
      </w:r>
    </w:p>
    <w:p w14:paraId="37CAE384"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四、职业面向</w:t>
      </w:r>
    </w:p>
    <w:p w14:paraId="7D870E8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 xml:space="preserve">(一) 对应职业和工作岗位 </w:t>
      </w:r>
    </w:p>
    <w:p w14:paraId="4145272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本专业毕业生主要面向中小型养老机构，养老院、</w:t>
      </w:r>
      <w:r>
        <w:rPr>
          <w:rFonts w:ascii="仿宋_GB2312" w:eastAsia="仿宋_GB2312" w:hAnsi="仿宋_GB2312" w:hint="eastAsia"/>
          <w:sz w:val="32"/>
        </w:rPr>
        <w:t>家政公司、</w:t>
      </w:r>
      <w:r>
        <w:rPr>
          <w:rFonts w:ascii="仿宋" w:eastAsia="仿宋" w:hAnsi="仿宋" w:hint="eastAsia"/>
          <w:sz w:val="32"/>
          <w:szCs w:val="32"/>
        </w:rPr>
        <w:t>社区等工作，其对应职业岗位为老年人护理员、护工、老年人专职护士、康复科护理人员等。</w:t>
      </w:r>
    </w:p>
    <w:p w14:paraId="14FB3851" w14:textId="77777777" w:rsidR="00000000" w:rsidRDefault="00000000">
      <w:pPr>
        <w:numPr>
          <w:ilvl w:val="0"/>
          <w:numId w:val="1"/>
        </w:num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对应职业资格证书</w:t>
      </w:r>
    </w:p>
    <w:p w14:paraId="04AC43A9"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(1)通用能力证书。包括全国公共英语等级考试证书、国家计算机等级考试证书。</w:t>
      </w:r>
    </w:p>
    <w:p w14:paraId="5FAC61C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(2)专业职业资格证书。包括护士执业资格证书、老年人服务管理证书、营养师证书。</w:t>
      </w:r>
    </w:p>
    <w:p w14:paraId="732F7EF5"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(三)未来发展方向</w:t>
      </w:r>
    </w:p>
    <w:p w14:paraId="00266648"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本专业学生毕业时有直接就业和升学深造两个方向。</w:t>
      </w:r>
    </w:p>
    <w:p w14:paraId="5C2E9393"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(1)选择直接就业的学生可从事老年人护理员、护工、</w:t>
      </w:r>
      <w:r>
        <w:rPr>
          <w:rFonts w:ascii="仿宋" w:eastAsia="仿宋" w:hAnsi="仿宋" w:hint="eastAsia"/>
          <w:sz w:val="32"/>
          <w:szCs w:val="32"/>
        </w:rPr>
        <w:lastRenderedPageBreak/>
        <w:t>老年人专职护士、康复科护理人员等工作。通过工作、实践和进一步的学历提升，可继续通过考试取得护士执业资格证及康复证书。</w:t>
      </w:r>
    </w:p>
    <w:p w14:paraId="01E049D2" w14:textId="77777777" w:rsidR="00000000" w:rsidRDefault="00000000">
      <w:pPr>
        <w:pStyle w:val="a5"/>
        <w:shd w:val="clear" w:color="auto" w:fill="FFFFFF"/>
        <w:spacing w:before="0" w:beforeAutospacing="0" w:after="0" w:afterAutospacing="0"/>
        <w:ind w:firstLineChars="200" w:firstLine="640"/>
        <w:rPr>
          <w:rFonts w:ascii="仿宋" w:eastAsia="仿宋" w:hAnsi="仿宋" w:hint="eastAsia"/>
          <w:sz w:val="32"/>
          <w:szCs w:val="32"/>
        </w:rPr>
      </w:pPr>
      <w:r>
        <w:rPr>
          <w:rFonts w:ascii="仿宋" w:eastAsia="仿宋" w:hAnsi="仿宋" w:hint="eastAsia"/>
          <w:sz w:val="32"/>
          <w:szCs w:val="32"/>
        </w:rPr>
        <w:t>(2)选择升学深造的学生可通过相应考试进入高等院校，高职层次对的专业有养老服务与管理、家政等，本科层次对应的专业有养老服务与管理、家政服务等。</w:t>
      </w:r>
    </w:p>
    <w:p w14:paraId="147CAFDE"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五、培养目标与培养规格</w:t>
      </w:r>
    </w:p>
    <w:p w14:paraId="0E73A26F" w14:textId="77777777" w:rsidR="00000000" w:rsidRDefault="00000000">
      <w:pPr>
        <w:overflowPunct w:val="0"/>
        <w:adjustRightInd w:val="0"/>
        <w:spacing w:line="560" w:lineRule="exact"/>
        <w:ind w:firstLineChars="200" w:firstLine="640"/>
        <w:outlineLvl w:val="0"/>
        <w:rPr>
          <w:rFonts w:ascii="仿宋" w:eastAsia="仿宋" w:hAnsi="仿宋" w:hint="eastAsia"/>
          <w:sz w:val="32"/>
          <w:szCs w:val="32"/>
        </w:rPr>
      </w:pPr>
      <w:r>
        <w:rPr>
          <w:rFonts w:ascii="仿宋" w:eastAsia="仿宋" w:hAnsi="仿宋" w:hint="eastAsia"/>
          <w:sz w:val="32"/>
          <w:szCs w:val="32"/>
        </w:rPr>
        <w:t>（一）培养目标</w:t>
      </w:r>
    </w:p>
    <w:p w14:paraId="052B2B15" w14:textId="77777777" w:rsidR="00000000" w:rsidRDefault="00000000">
      <w:pPr>
        <w:spacing w:line="580" w:lineRule="exact"/>
        <w:ind w:firstLineChars="200" w:firstLine="560"/>
        <w:rPr>
          <w:rFonts w:ascii="仿宋_GB2312" w:eastAsia="仿宋_GB2312" w:hint="eastAsia"/>
          <w:bCs/>
          <w:sz w:val="28"/>
          <w:szCs w:val="28"/>
        </w:rPr>
      </w:pPr>
      <w:r>
        <w:rPr>
          <w:rFonts w:ascii="仿宋_GB2312" w:eastAsia="仿宋_GB2312" w:hint="eastAsia"/>
          <w:bCs/>
          <w:sz w:val="28"/>
          <w:szCs w:val="28"/>
        </w:rPr>
        <w:t>培养有理想、有道德、有文化、热爱社会主义祖国和社会主义事业；具有为国家富强和人民富裕而艰苦奋斗的献身精神，具有实事求是、独立思考、勇于创新的科学精神；具有良好的职业道德和思想品质；掌握从事老年人服务与管理专业所需要的文化基础知识、专业技术知识和操作技能；有健康体魄的能从事老年人服务与管理的高素质技术技能人才。</w:t>
      </w:r>
    </w:p>
    <w:p w14:paraId="6420854A" w14:textId="77777777" w:rsidR="00000000" w:rsidRDefault="00000000">
      <w:pPr>
        <w:overflowPunct w:val="0"/>
        <w:adjustRightInd w:val="0"/>
        <w:spacing w:line="560" w:lineRule="exact"/>
        <w:ind w:firstLineChars="200" w:firstLine="640"/>
        <w:outlineLvl w:val="0"/>
        <w:rPr>
          <w:rFonts w:ascii="仿宋" w:eastAsia="仿宋" w:hAnsi="仿宋"/>
          <w:sz w:val="32"/>
          <w:szCs w:val="32"/>
        </w:rPr>
      </w:pPr>
      <w:r>
        <w:rPr>
          <w:rFonts w:ascii="仿宋" w:eastAsia="仿宋" w:hAnsi="仿宋" w:hint="eastAsia"/>
          <w:sz w:val="32"/>
          <w:szCs w:val="32"/>
        </w:rPr>
        <w:t>（二）培养规格</w:t>
      </w:r>
    </w:p>
    <w:p w14:paraId="4EA65EB8" w14:textId="77777777" w:rsidR="00000000" w:rsidRDefault="00000000">
      <w:pPr>
        <w:spacing w:line="460" w:lineRule="atLeast"/>
        <w:ind w:leftChars="266" w:left="559" w:firstLineChars="50" w:firstLine="140"/>
        <w:rPr>
          <w:rFonts w:ascii="仿宋_GB2312" w:eastAsia="仿宋_GB2312" w:hAnsi="宋体"/>
          <w:bCs/>
          <w:sz w:val="28"/>
          <w:szCs w:val="28"/>
        </w:rPr>
      </w:pPr>
      <w:r>
        <w:rPr>
          <w:rFonts w:ascii="仿宋_GB2312" w:eastAsia="仿宋_GB2312" w:hAnsi="宋体" w:hint="eastAsia"/>
          <w:bCs/>
          <w:sz w:val="28"/>
          <w:szCs w:val="28"/>
        </w:rPr>
        <w:t>1.素质</w:t>
      </w:r>
    </w:p>
    <w:p w14:paraId="5F8C95D4" w14:textId="77777777" w:rsidR="00000000" w:rsidRDefault="00000000">
      <w:pPr>
        <w:spacing w:line="460" w:lineRule="atLeast"/>
        <w:ind w:leftChars="266" w:left="559" w:firstLineChars="50" w:firstLine="140"/>
        <w:rPr>
          <w:rFonts w:ascii="仿宋_GB2312" w:eastAsia="仿宋_GB2312" w:hAnsi="宋体"/>
          <w:bCs/>
          <w:sz w:val="28"/>
          <w:szCs w:val="28"/>
        </w:rPr>
      </w:pPr>
      <w:r>
        <w:rPr>
          <w:rFonts w:ascii="仿宋_GB2312" w:eastAsia="仿宋_GB2312" w:hAnsi="宋体" w:hint="eastAsia"/>
          <w:bCs/>
          <w:sz w:val="28"/>
          <w:szCs w:val="28"/>
        </w:rPr>
        <w:t>（1）具有正确的世界观、人生观和价值观，遵纪守法，学习贯彻党的二十大精神，树立新时代中国特色社会主义共同理想，践行社会主义核心价值观，具有深厚的爱国情怀、国家认同感、中华民族自豪。</w:t>
      </w:r>
    </w:p>
    <w:p w14:paraId="2F5CCFD1"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t>（2）具有敬业、创业精神和社会责任感。</w:t>
      </w:r>
    </w:p>
    <w:p w14:paraId="169D4AB0"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t>（3）具有认真、负责、勤奋等良好的职业道德和踏实的工作作风。</w:t>
      </w:r>
    </w:p>
    <w:p w14:paraId="2B46F989" w14:textId="77777777" w:rsidR="00000000" w:rsidRDefault="00000000">
      <w:pPr>
        <w:spacing w:line="460" w:lineRule="atLeast"/>
        <w:ind w:firstLineChars="200" w:firstLine="560"/>
        <w:rPr>
          <w:rFonts w:ascii="仿宋_GB2312" w:eastAsia="仿宋_GB2312" w:hAnsi="宋体"/>
          <w:bCs/>
          <w:sz w:val="28"/>
          <w:szCs w:val="28"/>
        </w:rPr>
      </w:pPr>
      <w:r>
        <w:rPr>
          <w:rFonts w:ascii="仿宋_GB2312" w:eastAsia="仿宋_GB2312" w:hAnsi="宋体" w:hint="eastAsia"/>
          <w:bCs/>
          <w:sz w:val="28"/>
          <w:szCs w:val="28"/>
        </w:rPr>
        <w:lastRenderedPageBreak/>
        <w:t>（4）具有吃苦耐劳、不怕困难的团队协作精神。</w:t>
      </w:r>
    </w:p>
    <w:p w14:paraId="5CDFCE11"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（5）具有终生学习和可持续发展的能力。</w:t>
      </w:r>
    </w:p>
    <w:p w14:paraId="10F13F17" w14:textId="77777777" w:rsidR="00000000" w:rsidRDefault="00000000">
      <w:pPr>
        <w:overflowPunct w:val="0"/>
        <w:adjustRightInd w:val="0"/>
        <w:spacing w:line="560" w:lineRule="exact"/>
        <w:ind w:firstLineChars="300" w:firstLine="84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2.知识</w:t>
      </w:r>
    </w:p>
    <w:p w14:paraId="120E11D3" w14:textId="77777777" w:rsidR="00000000" w:rsidRDefault="00000000">
      <w:pPr>
        <w:overflowPunct w:val="0"/>
        <w:adjustRightInd w:val="0"/>
        <w:spacing w:line="560" w:lineRule="exact"/>
        <w:ind w:firstLineChars="200" w:firstLine="560"/>
        <w:outlineLvl w:val="0"/>
        <w:rPr>
          <w:rFonts w:ascii="仿宋_GB2312" w:eastAsia="仿宋_GB2312" w:hAnsi="宋体" w:cs="宋体"/>
          <w:kern w:val="0"/>
          <w:sz w:val="28"/>
          <w:szCs w:val="28"/>
        </w:rPr>
      </w:pPr>
      <w:r>
        <w:rPr>
          <w:rFonts w:ascii="仿宋_GB2312" w:eastAsia="仿宋_GB2312" w:hAnsi="宋体" w:cs="宋体" w:hint="eastAsia"/>
          <w:kern w:val="0"/>
          <w:sz w:val="28"/>
          <w:szCs w:val="28"/>
        </w:rPr>
        <w:t>（1）掌握中等职业学校学生必备的思政、语文、数学、英语、信息技术、体育与健康等知识。</w:t>
      </w:r>
    </w:p>
    <w:p w14:paraId="40CE9588"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（2）掌握现代老年人服务与管理学的基础理论和基本知识，掌握急、慢性和重症病人的老年人服务与管理原则与急救的老年人服务与管理配合；了解老年人服务与管理学科和医学技术发展动态。</w:t>
      </w:r>
    </w:p>
    <w:p w14:paraId="504B5FFE"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（3）掌握老年人服务与管理服务所必须的基础保健、临床陪护、社会、人文等学科知识并能综合有效地运用于老年人服务与管理工作中。</w:t>
      </w:r>
    </w:p>
    <w:p w14:paraId="76AE6817" w14:textId="77777777" w:rsidR="00000000" w:rsidRDefault="00000000">
      <w:pPr>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（4）掌握社区卫生服务的基本知识、方法。</w:t>
      </w:r>
    </w:p>
    <w:p w14:paraId="1BDC2BE0" w14:textId="77777777" w:rsidR="00000000" w:rsidRDefault="00000000">
      <w:pPr>
        <w:ind w:firstLineChars="200" w:firstLine="560"/>
        <w:rPr>
          <w:rFonts w:ascii="仿宋_GB2312" w:eastAsia="仿宋_GB2312" w:hAnsi="宋体" w:hint="eastAsia"/>
          <w:bCs/>
          <w:sz w:val="28"/>
          <w:szCs w:val="28"/>
        </w:rPr>
      </w:pPr>
      <w:r>
        <w:rPr>
          <w:rFonts w:ascii="仿宋_GB2312" w:eastAsia="仿宋_GB2312" w:hAnsi="宋体" w:cs="宋体" w:hint="eastAsia"/>
          <w:kern w:val="0"/>
          <w:sz w:val="28"/>
          <w:szCs w:val="28"/>
        </w:rPr>
        <w:t>（5）掌握必需的医疗卫生法规知识，熟悉国家卫生工作方针、政策及法规，在职业活动中学会用法律保护老年人服务与管理对象和自身权益。</w:t>
      </w:r>
    </w:p>
    <w:p w14:paraId="688BEB0B" w14:textId="77777777" w:rsidR="00000000" w:rsidRDefault="00000000">
      <w:pPr>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3.能力</w:t>
      </w:r>
    </w:p>
    <w:p w14:paraId="5AC4E773" w14:textId="77777777" w:rsidR="00000000" w:rsidRDefault="00000000">
      <w:pPr>
        <w:spacing w:line="460" w:lineRule="atLeast"/>
        <w:ind w:leftChars="133" w:left="419" w:hangingChars="50" w:hanging="140"/>
        <w:rPr>
          <w:rFonts w:ascii="仿宋_GB2312" w:eastAsia="仿宋_GB2312" w:hAnsi="宋体" w:hint="eastAsia"/>
          <w:b/>
          <w:bCs/>
          <w:sz w:val="28"/>
          <w:szCs w:val="28"/>
        </w:rPr>
      </w:pPr>
      <w:r>
        <w:rPr>
          <w:rFonts w:ascii="仿宋_GB2312" w:eastAsia="仿宋_GB2312" w:hAnsi="宋体" w:cs="宋体" w:hint="eastAsia"/>
          <w:kern w:val="0"/>
          <w:sz w:val="28"/>
          <w:szCs w:val="28"/>
        </w:rPr>
        <w:t>（1）具有专业技术培养学生预防、保健、临床医学和心理、社会等方面的知识能力，中医传统养生保健和现在康复治疗技术能力，养老服务的专业知识和技能能力，食疗，药膳知识能力。</w:t>
      </w:r>
    </w:p>
    <w:p w14:paraId="4EF01A8A" w14:textId="77777777" w:rsidR="00000000" w:rsidRDefault="00000000">
      <w:pPr>
        <w:spacing w:line="460" w:lineRule="atLeast"/>
        <w:ind w:firstLineChars="100" w:firstLine="280"/>
        <w:rPr>
          <w:rFonts w:ascii="仿宋_GB2312" w:eastAsia="仿宋_GB2312" w:hAnsi="宋体" w:hint="eastAsia"/>
          <w:bCs/>
          <w:sz w:val="28"/>
          <w:szCs w:val="28"/>
        </w:rPr>
      </w:pPr>
      <w:r>
        <w:rPr>
          <w:rFonts w:ascii="仿宋_GB2312" w:eastAsia="仿宋_GB2312" w:hAnsi="宋体" w:hint="eastAsia"/>
          <w:bCs/>
          <w:sz w:val="28"/>
          <w:szCs w:val="28"/>
        </w:rPr>
        <w:t>（2）具备一些基础能力：</w:t>
      </w:r>
    </w:p>
    <w:p w14:paraId="6C371252" w14:textId="77777777" w:rsidR="00000000" w:rsidRDefault="00000000">
      <w:pPr>
        <w:spacing w:line="460" w:lineRule="atLeast"/>
        <w:ind w:firstLineChars="300" w:firstLine="840"/>
        <w:rPr>
          <w:rFonts w:ascii="仿宋_GB2312" w:eastAsia="仿宋_GB2312" w:hAnsi="宋体" w:hint="eastAsia"/>
          <w:bCs/>
          <w:sz w:val="28"/>
          <w:szCs w:val="28"/>
        </w:rPr>
      </w:pPr>
      <w:r>
        <w:rPr>
          <w:rFonts w:ascii="仿宋_GB2312" w:eastAsia="仿宋_GB2312" w:hAnsi="宋体" w:hint="eastAsia"/>
          <w:bCs/>
          <w:sz w:val="28"/>
          <w:szCs w:val="28"/>
        </w:rPr>
        <w:t>①职业道德行为规范能力</w:t>
      </w:r>
    </w:p>
    <w:p w14:paraId="17C6CD1A" w14:textId="77777777" w:rsidR="00000000" w:rsidRDefault="00000000">
      <w:pPr>
        <w:spacing w:line="460" w:lineRule="atLeast"/>
        <w:ind w:firstLineChars="300" w:firstLine="840"/>
        <w:rPr>
          <w:rFonts w:ascii="仿宋_GB2312" w:eastAsia="仿宋_GB2312" w:hAnsi="宋体" w:hint="eastAsia"/>
          <w:bCs/>
          <w:sz w:val="28"/>
          <w:szCs w:val="28"/>
        </w:rPr>
      </w:pPr>
      <w:r>
        <w:rPr>
          <w:rFonts w:ascii="仿宋_GB2312" w:eastAsia="仿宋_GB2312" w:hAnsi="宋体" w:hint="eastAsia"/>
          <w:bCs/>
          <w:sz w:val="28"/>
          <w:szCs w:val="28"/>
        </w:rPr>
        <w:t>②语言与文字表达能力</w:t>
      </w:r>
    </w:p>
    <w:p w14:paraId="40B714EB"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lastRenderedPageBreak/>
        <w:t>③信息采集与处理能力</w:t>
      </w:r>
    </w:p>
    <w:p w14:paraId="4AAA573C"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④逻辑思维与判断能力</w:t>
      </w:r>
    </w:p>
    <w:p w14:paraId="03E166CD"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⑤计算机数据处理、操作能力</w:t>
      </w:r>
    </w:p>
    <w:p w14:paraId="79317D51"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⑥一定的本专业外文资料阅读能力</w:t>
      </w:r>
    </w:p>
    <w:p w14:paraId="7AA18B20" w14:textId="77777777" w:rsidR="00000000" w:rsidRDefault="00000000">
      <w:pPr>
        <w:spacing w:line="460" w:lineRule="atLeast"/>
        <w:ind w:firstLineChars="100" w:firstLine="280"/>
        <w:rPr>
          <w:rFonts w:ascii="仿宋_GB2312" w:eastAsia="仿宋_GB2312" w:hAnsi="宋体" w:hint="eastAsia"/>
          <w:bCs/>
          <w:sz w:val="28"/>
          <w:szCs w:val="28"/>
        </w:rPr>
      </w:pPr>
      <w:r>
        <w:rPr>
          <w:rFonts w:ascii="仿宋_GB2312" w:eastAsia="仿宋_GB2312" w:hAnsi="宋体" w:hint="eastAsia"/>
          <w:bCs/>
          <w:sz w:val="28"/>
          <w:szCs w:val="28"/>
        </w:rPr>
        <w:t>（3）综合能力：</w:t>
      </w:r>
    </w:p>
    <w:p w14:paraId="226350D3"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①踏实肯干吃苦耐劳能力</w:t>
      </w:r>
    </w:p>
    <w:p w14:paraId="57206E6A"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②敬业与团队能力</w:t>
      </w:r>
    </w:p>
    <w:p w14:paraId="1238C874"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③竞争与组织能力</w:t>
      </w:r>
    </w:p>
    <w:p w14:paraId="276ECBDB"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④创新与创业能力</w:t>
      </w:r>
    </w:p>
    <w:p w14:paraId="608F4F7F"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⑤自学与钻研能力</w:t>
      </w:r>
    </w:p>
    <w:p w14:paraId="74E9AB27" w14:textId="77777777" w:rsidR="00000000" w:rsidRDefault="00000000">
      <w:pPr>
        <w:spacing w:line="460" w:lineRule="atLeast"/>
        <w:ind w:firstLineChars="200" w:firstLine="560"/>
        <w:rPr>
          <w:rFonts w:ascii="仿宋_GB2312" w:eastAsia="仿宋_GB2312" w:hAnsi="宋体" w:hint="eastAsia"/>
          <w:bCs/>
          <w:sz w:val="28"/>
          <w:szCs w:val="28"/>
        </w:rPr>
      </w:pPr>
      <w:r>
        <w:rPr>
          <w:rFonts w:ascii="仿宋_GB2312" w:eastAsia="仿宋_GB2312" w:hAnsi="宋体" w:hint="eastAsia"/>
          <w:bCs/>
          <w:sz w:val="28"/>
          <w:szCs w:val="28"/>
        </w:rPr>
        <w:t>⑥人际交往与社会适应能力</w:t>
      </w:r>
    </w:p>
    <w:p w14:paraId="4357E636" w14:textId="77777777" w:rsidR="00000000" w:rsidRDefault="00000000">
      <w:pPr>
        <w:numPr>
          <w:ilvl w:val="0"/>
          <w:numId w:val="2"/>
        </w:numPr>
        <w:spacing w:line="580" w:lineRule="exact"/>
        <w:jc w:val="left"/>
        <w:rPr>
          <w:rFonts w:ascii="黑体" w:eastAsia="黑体" w:hAnsi="黑体" w:hint="eastAsia"/>
          <w:sz w:val="32"/>
          <w:szCs w:val="32"/>
        </w:rPr>
      </w:pPr>
      <w:r>
        <w:rPr>
          <w:rFonts w:ascii="黑体" w:eastAsia="黑体" w:hAnsi="黑体" w:hint="eastAsia"/>
          <w:sz w:val="32"/>
          <w:szCs w:val="32"/>
        </w:rPr>
        <w:t>课程设置与教学要求</w:t>
      </w:r>
    </w:p>
    <w:p w14:paraId="1E2786F4" w14:textId="77777777" w:rsidR="00000000" w:rsidRDefault="00000000">
      <w:pPr>
        <w:spacing w:line="580" w:lineRule="exact"/>
        <w:ind w:firstLineChars="200" w:firstLine="640"/>
        <w:rPr>
          <w:rFonts w:ascii="仿宋" w:eastAsia="仿宋" w:hAnsi="仿宋"/>
          <w:sz w:val="32"/>
          <w:szCs w:val="32"/>
          <w:lang w:eastAsia="zh-Hans"/>
        </w:rPr>
      </w:pPr>
      <w:r>
        <w:rPr>
          <w:rFonts w:ascii="仿宋" w:eastAsia="仿宋" w:hAnsi="仿宋" w:hint="eastAsia"/>
          <w:sz w:val="32"/>
          <w:szCs w:val="32"/>
        </w:rPr>
        <w:t>主要包括公共基础课程和专业（技能）课程</w:t>
      </w:r>
      <w:bookmarkStart w:id="4" w:name="_Toc3391"/>
      <w:bookmarkStart w:id="5" w:name="_Toc31214"/>
      <w:bookmarkStart w:id="6" w:name="_Toc1028"/>
      <w:bookmarkStart w:id="7" w:name="_Toc18160"/>
    </w:p>
    <w:p w14:paraId="6D70F03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（一）公共基础课程（共1172学时）</w:t>
      </w:r>
      <w:bookmarkEnd w:id="4"/>
      <w:bookmarkEnd w:id="5"/>
      <w:bookmarkEnd w:id="6"/>
      <w:bookmarkEnd w:id="7"/>
    </w:p>
    <w:p w14:paraId="20BD5DCE" w14:textId="77777777" w:rsidR="00000000" w:rsidRDefault="00000000">
      <w:pPr>
        <w:spacing w:line="580" w:lineRule="exact"/>
        <w:ind w:firstLineChars="200" w:firstLine="640"/>
        <w:rPr>
          <w:rFonts w:ascii="仿宋" w:eastAsia="仿宋" w:hAnsi="仿宋" w:hint="eastAsia"/>
          <w:sz w:val="32"/>
          <w:szCs w:val="32"/>
        </w:rPr>
      </w:pPr>
      <w:bookmarkStart w:id="8" w:name="_Toc24790"/>
      <w:r>
        <w:rPr>
          <w:rFonts w:ascii="仿宋" w:eastAsia="仿宋" w:hAnsi="仿宋" w:hint="eastAsia"/>
          <w:sz w:val="32"/>
          <w:szCs w:val="32"/>
        </w:rPr>
        <w:t>1、语文（198学时）</w:t>
      </w:r>
      <w:bookmarkEnd w:id="8"/>
    </w:p>
    <w:p w14:paraId="1BC4753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通过词、句、篇等基础知识的教学和读、说、写的训练，使学生掌握必要的语文基础知识和素养，能正确理解和运用祖国语言文字，具有适应本专业需要的现代语言的阅读能力。</w:t>
      </w:r>
    </w:p>
    <w:p w14:paraId="5AD270FC" w14:textId="77777777" w:rsidR="00000000" w:rsidRDefault="00000000">
      <w:pPr>
        <w:spacing w:line="580" w:lineRule="exact"/>
        <w:ind w:firstLineChars="200" w:firstLine="640"/>
        <w:rPr>
          <w:rFonts w:ascii="仿宋" w:eastAsia="仿宋" w:hAnsi="仿宋" w:hint="eastAsia"/>
          <w:sz w:val="32"/>
          <w:szCs w:val="32"/>
        </w:rPr>
      </w:pPr>
      <w:bookmarkStart w:id="9" w:name="_Toc16786"/>
      <w:r>
        <w:rPr>
          <w:rFonts w:ascii="仿宋" w:eastAsia="仿宋" w:hAnsi="仿宋" w:hint="eastAsia"/>
          <w:sz w:val="32"/>
          <w:szCs w:val="32"/>
        </w:rPr>
        <w:t>2、数学（162学时）</w:t>
      </w:r>
      <w:bookmarkEnd w:id="9"/>
    </w:p>
    <w:p w14:paraId="56456CD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讲授代数、三角、立体几何、复数等基本内容，使学生理解基本概念、定理和公式，侧重于应用。进一步培养学生运算能力、逻辑思维能力和空间想象能力，从而增强学生分</w:t>
      </w:r>
      <w:r>
        <w:rPr>
          <w:rFonts w:ascii="仿宋" w:eastAsia="仿宋" w:hAnsi="仿宋" w:hint="eastAsia"/>
          <w:sz w:val="32"/>
          <w:szCs w:val="32"/>
        </w:rPr>
        <w:lastRenderedPageBreak/>
        <w:t>析问题和解决问题的能力。</w:t>
      </w:r>
    </w:p>
    <w:p w14:paraId="406DEA52" w14:textId="77777777" w:rsidR="00000000" w:rsidRDefault="00000000">
      <w:pPr>
        <w:spacing w:line="580" w:lineRule="exact"/>
        <w:ind w:firstLineChars="200" w:firstLine="640"/>
        <w:rPr>
          <w:rFonts w:ascii="仿宋" w:eastAsia="仿宋" w:hAnsi="仿宋" w:hint="eastAsia"/>
          <w:sz w:val="32"/>
          <w:szCs w:val="32"/>
        </w:rPr>
      </w:pPr>
      <w:bookmarkStart w:id="10" w:name="_Toc26178"/>
      <w:r>
        <w:rPr>
          <w:rFonts w:ascii="仿宋" w:eastAsia="仿宋" w:hAnsi="仿宋" w:hint="eastAsia"/>
          <w:sz w:val="32"/>
          <w:szCs w:val="32"/>
        </w:rPr>
        <w:t>3、英语（144学时）</w:t>
      </w:r>
      <w:bookmarkEnd w:id="10"/>
    </w:p>
    <w:p w14:paraId="53C320A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英语教学是教授最基本的语言，通过比较严格的听、说、读、写、译的训练，培养学生运用所学语言材料的能力，并侧重培养阅读理解能力，使学生不仅能获得正确的学习方法，为进一步学习英语打好基础，而且能以英语为工具，初步具备获取英语信息的能力。</w:t>
      </w:r>
    </w:p>
    <w:p w14:paraId="7FC9ABB1" w14:textId="77777777" w:rsidR="00000000" w:rsidRDefault="00000000">
      <w:pPr>
        <w:spacing w:line="580" w:lineRule="exact"/>
        <w:ind w:firstLineChars="200" w:firstLine="640"/>
        <w:rPr>
          <w:rFonts w:ascii="仿宋" w:eastAsia="仿宋" w:hAnsi="仿宋" w:hint="eastAsia"/>
          <w:sz w:val="32"/>
          <w:szCs w:val="32"/>
        </w:rPr>
      </w:pPr>
      <w:bookmarkStart w:id="11" w:name="_Toc27895"/>
      <w:r>
        <w:rPr>
          <w:rFonts w:ascii="仿宋" w:eastAsia="仿宋" w:hAnsi="仿宋" w:hint="eastAsia"/>
          <w:sz w:val="32"/>
          <w:szCs w:val="32"/>
        </w:rPr>
        <w:t>4、信息技术基础（108学时）</w:t>
      </w:r>
      <w:bookmarkEnd w:id="11"/>
    </w:p>
    <w:p w14:paraId="76CCA87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在初中相关课程的基础上，进一步学习信息技术的基础知识、常用操作系统的使用、文字处理软件的使用、计算机网络的基本操作和使用，机械制图CAD专业应用，掌握计算机操作的基本技能，具有一定的文字处理能力，数据处理能力，信息获取、整理、加工能力，网上交互能力，为以后的学习和工作打下基础。</w:t>
      </w:r>
    </w:p>
    <w:p w14:paraId="24691270" w14:textId="77777777" w:rsidR="00000000" w:rsidRDefault="00000000">
      <w:pPr>
        <w:spacing w:line="580" w:lineRule="exact"/>
        <w:ind w:firstLineChars="200" w:firstLine="640"/>
        <w:rPr>
          <w:rFonts w:ascii="仿宋" w:eastAsia="仿宋" w:hAnsi="仿宋" w:hint="eastAsia"/>
          <w:sz w:val="32"/>
          <w:szCs w:val="32"/>
        </w:rPr>
      </w:pPr>
      <w:bookmarkStart w:id="12" w:name="_Toc24122"/>
      <w:r>
        <w:rPr>
          <w:rFonts w:ascii="仿宋" w:eastAsia="仿宋" w:hAnsi="仿宋" w:hint="eastAsia"/>
          <w:sz w:val="32"/>
          <w:szCs w:val="32"/>
        </w:rPr>
        <w:t>5、体育与健康 （144学时）</w:t>
      </w:r>
      <w:bookmarkEnd w:id="12"/>
    </w:p>
    <w:p w14:paraId="6DF527B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体育基本知识的教学和基本技能的训练，使学生掌握体育运动的基本技能，养成用科学方法锻炼身体的习惯，促进学生身体的正常发育，不断增强体质，并具有适应从事本专业需要的身体素质和身体所调节的方法。</w:t>
      </w:r>
    </w:p>
    <w:p w14:paraId="710210F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6、心理健康教育（36学时）</w:t>
      </w:r>
    </w:p>
    <w:p w14:paraId="7752B50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技术学校学生的一门必修课程，是中等职业学校德育工作不可缺少的一个重要方面。主要针对中等职业学校学生的思想、学习和生活等方面的心理问题，旨在加强学生的公民道德素质，强化学生心理健康教育。</w:t>
      </w:r>
    </w:p>
    <w:p w14:paraId="3AF74514" w14:textId="77777777" w:rsidR="00000000" w:rsidRDefault="00000000">
      <w:pPr>
        <w:spacing w:line="580" w:lineRule="exact"/>
        <w:ind w:firstLineChars="200" w:firstLine="640"/>
        <w:rPr>
          <w:rFonts w:ascii="仿宋" w:eastAsia="仿宋" w:hAnsi="仿宋" w:hint="eastAsia"/>
          <w:sz w:val="32"/>
          <w:szCs w:val="32"/>
        </w:rPr>
      </w:pPr>
      <w:bookmarkStart w:id="13" w:name="_Toc22359"/>
      <w:r>
        <w:rPr>
          <w:rFonts w:ascii="仿宋" w:eastAsia="仿宋" w:hAnsi="仿宋" w:hint="eastAsia"/>
          <w:sz w:val="32"/>
          <w:szCs w:val="32"/>
        </w:rPr>
        <w:lastRenderedPageBreak/>
        <w:t>7、职业道德与职业指导（18学时）</w:t>
      </w:r>
      <w:bookmarkEnd w:id="13"/>
    </w:p>
    <w:p w14:paraId="3B21D60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进行以为人民服务思想为核心的职业道德基本常识教育，特别是进行职业道德基本规范的教育与训练，使学生明确社会主义职业道德基本规范的具体内容，树立敬业意识、服务意识、质量意识、竞争意识、团结协作意识、改革创新意识，增强法纪观念，提高辨别、抵制不正之风的能力，为学生形成与其将来所从事的职业相适应的良好职业道德和职业行为习惯奠定基础。进行以培养学生职业意识、求职能力、创业精神等方面职业指导。</w:t>
      </w:r>
    </w:p>
    <w:p w14:paraId="1C1C8224" w14:textId="77777777" w:rsidR="00000000" w:rsidRDefault="00000000">
      <w:pPr>
        <w:spacing w:line="580" w:lineRule="exact"/>
        <w:ind w:firstLineChars="200" w:firstLine="640"/>
        <w:rPr>
          <w:rFonts w:ascii="仿宋" w:eastAsia="仿宋" w:hAnsi="仿宋" w:hint="eastAsia"/>
          <w:sz w:val="32"/>
          <w:szCs w:val="32"/>
        </w:rPr>
      </w:pPr>
      <w:bookmarkStart w:id="14" w:name="_Toc21814"/>
      <w:r>
        <w:rPr>
          <w:rFonts w:ascii="仿宋" w:eastAsia="仿宋" w:hAnsi="仿宋" w:hint="eastAsia"/>
          <w:sz w:val="32"/>
          <w:szCs w:val="32"/>
        </w:rPr>
        <w:t>8、法律基础（36学时）</w:t>
      </w:r>
      <w:bookmarkEnd w:id="14"/>
    </w:p>
    <w:p w14:paraId="0CB9706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旨在对学生进行法律基础知识教育。其主要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14:paraId="4118EFC9" w14:textId="77777777" w:rsidR="00000000" w:rsidRDefault="00000000">
      <w:pPr>
        <w:spacing w:line="580" w:lineRule="exact"/>
        <w:ind w:firstLineChars="200" w:firstLine="640"/>
        <w:rPr>
          <w:rFonts w:ascii="仿宋" w:eastAsia="仿宋" w:hAnsi="仿宋" w:hint="eastAsia"/>
          <w:sz w:val="32"/>
          <w:szCs w:val="32"/>
        </w:rPr>
      </w:pPr>
      <w:bookmarkStart w:id="15" w:name="_Toc9345"/>
      <w:r>
        <w:rPr>
          <w:rFonts w:ascii="仿宋" w:eastAsia="仿宋" w:hAnsi="仿宋" w:hint="eastAsia"/>
          <w:sz w:val="32"/>
          <w:szCs w:val="32"/>
        </w:rPr>
        <w:t>9、思想政治知识（144学时）</w:t>
      </w:r>
      <w:bookmarkEnd w:id="15"/>
    </w:p>
    <w:p w14:paraId="74B3D4D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w:t>
      </w:r>
      <w:r>
        <w:rPr>
          <w:rFonts w:ascii="仿宋" w:eastAsia="仿宋" w:hAnsi="仿宋" w:hint="eastAsia"/>
          <w:sz w:val="32"/>
          <w:szCs w:val="32"/>
        </w:rPr>
        <w:lastRenderedPageBreak/>
        <w:t>社会主义经济建设、积极参与社会主义民主政治建设打下基础。</w:t>
      </w:r>
    </w:p>
    <w:p w14:paraId="31F97913" w14:textId="77777777" w:rsidR="00000000" w:rsidRDefault="00000000">
      <w:pPr>
        <w:spacing w:line="580" w:lineRule="exact"/>
        <w:ind w:firstLineChars="200" w:firstLine="640"/>
        <w:rPr>
          <w:rFonts w:ascii="仿宋" w:eastAsia="仿宋" w:hAnsi="仿宋" w:hint="eastAsia"/>
          <w:sz w:val="32"/>
          <w:szCs w:val="32"/>
        </w:rPr>
      </w:pPr>
      <w:bookmarkStart w:id="16" w:name="_Toc10971"/>
      <w:r>
        <w:rPr>
          <w:rFonts w:ascii="仿宋" w:eastAsia="仿宋" w:hAnsi="仿宋" w:hint="eastAsia"/>
          <w:sz w:val="32"/>
          <w:szCs w:val="32"/>
        </w:rPr>
        <w:t>10、哲学基础知识（36学时）</w:t>
      </w:r>
      <w:bookmarkEnd w:id="16"/>
    </w:p>
    <w:p w14:paraId="4AA6ABA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14:paraId="77136EF8" w14:textId="77777777" w:rsidR="00000000" w:rsidRDefault="00000000">
      <w:pPr>
        <w:spacing w:line="580" w:lineRule="exact"/>
        <w:ind w:firstLineChars="200" w:firstLine="640"/>
        <w:rPr>
          <w:rFonts w:ascii="仿宋" w:eastAsia="仿宋" w:hAnsi="仿宋" w:hint="eastAsia"/>
          <w:sz w:val="32"/>
          <w:szCs w:val="32"/>
        </w:rPr>
      </w:pPr>
      <w:bookmarkStart w:id="17" w:name="_Toc3659"/>
      <w:r>
        <w:rPr>
          <w:rFonts w:ascii="仿宋" w:eastAsia="仿宋" w:hAnsi="仿宋" w:hint="eastAsia"/>
          <w:sz w:val="32"/>
          <w:szCs w:val="32"/>
        </w:rPr>
        <w:t>11、创业教育（18学时）</w:t>
      </w:r>
      <w:bookmarkEnd w:id="17"/>
    </w:p>
    <w:p w14:paraId="3F95095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本课程旨在培养职高学生的创业意识和品德，掌握创业的知识和方法，并通过成功人士的创业案例，激发学生毕业后自主就业、自我创业的主动性和积极性。</w:t>
      </w:r>
    </w:p>
    <w:p w14:paraId="53953CEE" w14:textId="77777777" w:rsidR="00000000" w:rsidRDefault="00000000">
      <w:pPr>
        <w:spacing w:line="580" w:lineRule="exact"/>
        <w:ind w:left="630"/>
        <w:rPr>
          <w:rFonts w:ascii="仿宋" w:eastAsia="仿宋" w:hAnsi="仿宋" w:hint="eastAsia"/>
          <w:sz w:val="32"/>
          <w:szCs w:val="32"/>
        </w:rPr>
      </w:pPr>
      <w:r>
        <w:rPr>
          <w:rFonts w:ascii="仿宋" w:eastAsia="仿宋" w:hAnsi="仿宋" w:hint="eastAsia"/>
          <w:sz w:val="32"/>
          <w:szCs w:val="32"/>
        </w:rPr>
        <w:t>12、历</w:t>
      </w:r>
      <w:r>
        <w:rPr>
          <w:rFonts w:ascii="仿宋" w:eastAsia="仿宋" w:hAnsi="仿宋" w:hint="eastAsia"/>
          <w:sz w:val="32"/>
          <w:szCs w:val="32"/>
          <w:lang w:eastAsia="zh-Hans"/>
        </w:rPr>
        <w:t>史</w:t>
      </w:r>
      <w:r>
        <w:rPr>
          <w:rFonts w:ascii="仿宋" w:eastAsia="仿宋" w:hAnsi="仿宋" w:hint="eastAsia"/>
          <w:sz w:val="32"/>
          <w:szCs w:val="32"/>
        </w:rPr>
        <w:t>（128学时）</w:t>
      </w:r>
    </w:p>
    <w:p w14:paraId="1F4F51E0"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本课程旨在</w:t>
      </w:r>
      <w:r>
        <w:rPr>
          <w:rFonts w:ascii="仿宋" w:eastAsia="仿宋" w:hAnsi="仿宋" w:hint="eastAsia"/>
          <w:sz w:val="32"/>
          <w:szCs w:val="32"/>
          <w:lang w:eastAsia="zh-Hans"/>
        </w:rPr>
        <w:t>提高</w:t>
      </w:r>
      <w:r>
        <w:rPr>
          <w:rFonts w:ascii="仿宋" w:eastAsia="仿宋" w:hAnsi="仿宋" w:hint="eastAsia"/>
          <w:sz w:val="32"/>
          <w:szCs w:val="32"/>
        </w:rPr>
        <w:t>职高学生的</w:t>
      </w:r>
      <w:r>
        <w:rPr>
          <w:rFonts w:ascii="仿宋" w:eastAsia="仿宋" w:hAnsi="仿宋" w:hint="eastAsia"/>
          <w:sz w:val="32"/>
          <w:szCs w:val="32"/>
          <w:lang w:eastAsia="zh-Hans"/>
        </w:rPr>
        <w:t>社会主义思想觉悟</w:t>
      </w:r>
      <w:r>
        <w:rPr>
          <w:rFonts w:ascii="仿宋" w:eastAsia="仿宋" w:hAnsi="仿宋"/>
          <w:sz w:val="32"/>
          <w:szCs w:val="32"/>
          <w:lang w:eastAsia="zh-Hans"/>
        </w:rPr>
        <w:t>，</w:t>
      </w:r>
      <w:r>
        <w:rPr>
          <w:rFonts w:ascii="仿宋" w:eastAsia="仿宋" w:hAnsi="仿宋" w:hint="eastAsia"/>
          <w:sz w:val="32"/>
          <w:szCs w:val="32"/>
          <w:lang w:eastAsia="zh-Hans"/>
        </w:rPr>
        <w:t>培养学生成为热爱社会主义祖国的具有社会公德</w:t>
      </w:r>
      <w:r>
        <w:rPr>
          <w:rFonts w:ascii="仿宋" w:eastAsia="仿宋" w:hAnsi="仿宋"/>
          <w:sz w:val="32"/>
          <w:szCs w:val="32"/>
          <w:lang w:eastAsia="zh-Hans"/>
        </w:rPr>
        <w:t>、</w:t>
      </w:r>
      <w:r>
        <w:rPr>
          <w:rFonts w:ascii="仿宋" w:eastAsia="仿宋" w:hAnsi="仿宋" w:hint="eastAsia"/>
          <w:sz w:val="32"/>
          <w:szCs w:val="32"/>
          <w:lang w:eastAsia="zh-Hans"/>
        </w:rPr>
        <w:t>文明行为习惯的遵纪守法的公民</w:t>
      </w:r>
      <w:r>
        <w:rPr>
          <w:rFonts w:ascii="仿宋" w:eastAsia="仿宋" w:hAnsi="仿宋"/>
          <w:sz w:val="32"/>
          <w:szCs w:val="32"/>
          <w:lang w:eastAsia="zh-Hans"/>
        </w:rPr>
        <w:t>，</w:t>
      </w:r>
      <w:r>
        <w:rPr>
          <w:rFonts w:ascii="仿宋" w:eastAsia="仿宋" w:hAnsi="仿宋" w:hint="eastAsia"/>
          <w:sz w:val="32"/>
          <w:szCs w:val="32"/>
          <w:lang w:eastAsia="zh-Hans"/>
        </w:rPr>
        <w:t>进一步引导学生逐步树立科学的人生观</w:t>
      </w:r>
      <w:r>
        <w:rPr>
          <w:rFonts w:ascii="仿宋" w:eastAsia="仿宋" w:hAnsi="仿宋"/>
          <w:sz w:val="32"/>
          <w:szCs w:val="32"/>
          <w:lang w:eastAsia="zh-Hans"/>
        </w:rPr>
        <w:t>、</w:t>
      </w:r>
      <w:r>
        <w:rPr>
          <w:rFonts w:ascii="仿宋" w:eastAsia="仿宋" w:hAnsi="仿宋" w:hint="eastAsia"/>
          <w:sz w:val="32"/>
          <w:szCs w:val="32"/>
          <w:lang w:eastAsia="zh-Hans"/>
        </w:rPr>
        <w:t>世界观</w:t>
      </w:r>
      <w:r>
        <w:rPr>
          <w:rFonts w:ascii="仿宋" w:eastAsia="仿宋" w:hAnsi="仿宋"/>
          <w:sz w:val="32"/>
          <w:szCs w:val="32"/>
          <w:lang w:eastAsia="zh-Hans"/>
        </w:rPr>
        <w:t>，</w:t>
      </w:r>
      <w:r>
        <w:rPr>
          <w:rFonts w:ascii="仿宋" w:eastAsia="仿宋" w:hAnsi="仿宋" w:hint="eastAsia"/>
          <w:sz w:val="32"/>
          <w:szCs w:val="32"/>
          <w:lang w:eastAsia="zh-Hans"/>
        </w:rPr>
        <w:t>并不断提高社会主义思想觉悟</w:t>
      </w:r>
      <w:r>
        <w:rPr>
          <w:rFonts w:ascii="仿宋" w:eastAsia="仿宋" w:hAnsi="仿宋"/>
          <w:sz w:val="32"/>
          <w:szCs w:val="32"/>
          <w:lang w:eastAsia="zh-Hans"/>
        </w:rPr>
        <w:t>。</w:t>
      </w:r>
    </w:p>
    <w:p w14:paraId="4104C8EE" w14:textId="77777777" w:rsidR="00000000" w:rsidRDefault="00000000">
      <w:pPr>
        <w:spacing w:line="580" w:lineRule="exact"/>
        <w:ind w:firstLineChars="200" w:firstLine="640"/>
        <w:rPr>
          <w:rFonts w:ascii="仿宋" w:eastAsia="仿宋" w:hAnsi="仿宋" w:hint="eastAsia"/>
          <w:sz w:val="32"/>
          <w:szCs w:val="32"/>
        </w:rPr>
      </w:pPr>
      <w:bookmarkStart w:id="18" w:name="_Toc3904"/>
      <w:bookmarkStart w:id="19" w:name="_Toc22490"/>
      <w:bookmarkStart w:id="20" w:name="_Toc30372"/>
      <w:bookmarkStart w:id="21" w:name="_Toc31070"/>
      <w:r>
        <w:rPr>
          <w:rFonts w:ascii="仿宋" w:eastAsia="仿宋" w:hAnsi="仿宋" w:hint="eastAsia"/>
          <w:sz w:val="32"/>
          <w:szCs w:val="32"/>
        </w:rPr>
        <w:t>（二）专业（技能）课程</w:t>
      </w:r>
      <w:bookmarkEnd w:id="18"/>
      <w:bookmarkEnd w:id="19"/>
      <w:bookmarkEnd w:id="20"/>
      <w:bookmarkEnd w:id="21"/>
      <w:r>
        <w:rPr>
          <w:rFonts w:ascii="仿宋" w:eastAsia="仿宋" w:hAnsi="仿宋" w:hint="eastAsia"/>
          <w:sz w:val="32"/>
          <w:szCs w:val="32"/>
        </w:rPr>
        <w:t>（共1052学时）</w:t>
      </w:r>
    </w:p>
    <w:p w14:paraId="6F9D2208" w14:textId="77777777" w:rsidR="00000000" w:rsidRDefault="00000000">
      <w:pPr>
        <w:spacing w:line="580" w:lineRule="exact"/>
        <w:ind w:firstLineChars="200" w:firstLine="640"/>
        <w:rPr>
          <w:rFonts w:ascii="仿宋" w:eastAsia="仿宋" w:hAnsi="仿宋" w:hint="eastAsia"/>
          <w:sz w:val="32"/>
          <w:szCs w:val="32"/>
        </w:rPr>
      </w:pPr>
      <w:bookmarkStart w:id="22" w:name="_Toc28402"/>
      <w:r>
        <w:rPr>
          <w:rFonts w:ascii="仿宋" w:eastAsia="仿宋" w:hAnsi="仿宋" w:hint="eastAsia"/>
          <w:sz w:val="32"/>
          <w:szCs w:val="32"/>
        </w:rPr>
        <w:t>1、老年护理（40课时）</w:t>
      </w:r>
    </w:p>
    <w:p w14:paraId="7A2F895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《老年护理》是以老年人和老年社会为研究对象，研究、处理老年人对现存的和潜在的健康问题的反应的一门课程。该课程以现在护理理论为基础，以护理程序为基本工作模</w:t>
      </w:r>
      <w:r>
        <w:rPr>
          <w:rFonts w:ascii="仿宋" w:eastAsia="仿宋" w:hAnsi="仿宋" w:hint="eastAsia"/>
          <w:sz w:val="32"/>
          <w:szCs w:val="32"/>
        </w:rPr>
        <w:lastRenderedPageBreak/>
        <w:t>式，主要体现以老年人为中心的护理工作的理念、范畴、工作任务、方法等，是老年学研究的一项重要指标</w:t>
      </w:r>
    </w:p>
    <w:p w14:paraId="0CB5836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2、老年社会工作（54课时）</w:t>
      </w:r>
    </w:p>
    <w:p w14:paraId="2A7E354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老年社会工作》旨在帮助学生认识老年社会工作的意义，掌握从事老年社会工作所需的理念、方法和技能。课程将介绍开展老年社会工作的社会背景、老年社会工作的基本知识和工作技巧；重点室理解老化对个人在生理、心理和社会生活方面的影响，老年社会工作的特点，老年社会国内工作要把握的基本原则，为老年人做生理、心理与社会生活状况评估的基本方法，老年人个案工作和小组工作的要点，老年人社区工作的要点，在老年院舍从事社会工作主要内容与方法。学会从事老年社会工作所要面对的非正式支持和正式支持、虐待、丧亲、临终关怀等特定问题的处理方法</w:t>
      </w:r>
    </w:p>
    <w:p w14:paraId="46CE7CC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3、人体解剖学（108学时，其中实验48学时）</w:t>
      </w:r>
      <w:bookmarkEnd w:id="22"/>
    </w:p>
    <w:p w14:paraId="7A95703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人体解剖学是研究正常人体形态结构及其发生发展的科学。它是学习其它基础医学的重要基础课。其任务是通过教学使学生掌握人体各器官的位置及形态结构的重要毗邻关系的知识和解剖操作的基本技能，为学习其他基础医学课程和临床医学课程奠定基础。培养学生自学、观察、综合判断、思维表达以及分析问题和解决问题的能力</w:t>
      </w:r>
    </w:p>
    <w:p w14:paraId="51FE3E2D" w14:textId="77777777" w:rsidR="00000000" w:rsidRDefault="00000000">
      <w:pPr>
        <w:spacing w:line="580" w:lineRule="exact"/>
        <w:ind w:firstLineChars="200" w:firstLine="640"/>
        <w:rPr>
          <w:rFonts w:ascii="仿宋" w:eastAsia="仿宋" w:hAnsi="仿宋" w:hint="eastAsia"/>
          <w:sz w:val="32"/>
          <w:szCs w:val="32"/>
        </w:rPr>
      </w:pPr>
      <w:bookmarkStart w:id="23" w:name="_Toc13309"/>
      <w:r>
        <w:rPr>
          <w:rFonts w:ascii="仿宋" w:eastAsia="仿宋" w:hAnsi="仿宋" w:hint="eastAsia"/>
          <w:sz w:val="32"/>
          <w:szCs w:val="32"/>
        </w:rPr>
        <w:t>4、医学基础（144学时）</w:t>
      </w:r>
      <w:bookmarkEnd w:id="23"/>
    </w:p>
    <w:p w14:paraId="21A422AF"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了解人体基本构造；熟悉人体各组织、系统相应功能。熟悉常见的致病因素；熟悉疾病的基本常识；能进行简单的病例分析，会问诊及体格检查的基本方法，常见疾病症状的</w:t>
      </w:r>
      <w:r>
        <w:rPr>
          <w:rFonts w:ascii="仿宋" w:eastAsia="仿宋" w:hAnsi="仿宋" w:hint="eastAsia"/>
          <w:sz w:val="32"/>
          <w:szCs w:val="32"/>
        </w:rPr>
        <w:lastRenderedPageBreak/>
        <w:t>分析与判断，会常见疾病的防治原则。</w:t>
      </w:r>
    </w:p>
    <w:p w14:paraId="30D3615A" w14:textId="77777777" w:rsidR="00000000" w:rsidRDefault="00000000">
      <w:pPr>
        <w:spacing w:line="580" w:lineRule="exact"/>
        <w:ind w:firstLineChars="200" w:firstLine="640"/>
        <w:rPr>
          <w:rFonts w:ascii="仿宋" w:eastAsia="仿宋" w:hAnsi="仿宋" w:hint="eastAsia"/>
          <w:sz w:val="32"/>
          <w:szCs w:val="32"/>
        </w:rPr>
      </w:pPr>
      <w:bookmarkStart w:id="24" w:name="_Toc17190"/>
      <w:r>
        <w:rPr>
          <w:rFonts w:ascii="仿宋" w:eastAsia="仿宋" w:hAnsi="仿宋" w:hint="eastAsia"/>
          <w:sz w:val="32"/>
          <w:szCs w:val="32"/>
        </w:rPr>
        <w:t>5、医学免疫与微生物学（54学时）</w:t>
      </w:r>
      <w:bookmarkEnd w:id="24"/>
    </w:p>
    <w:p w14:paraId="384A8200" w14:textId="77777777" w:rsidR="00000000" w:rsidRDefault="00000000">
      <w:pPr>
        <w:spacing w:line="580" w:lineRule="exact"/>
        <w:ind w:firstLineChars="200" w:firstLine="640"/>
        <w:rPr>
          <w:rFonts w:ascii="仿宋" w:eastAsia="仿宋" w:hAnsi="仿宋" w:hint="eastAsia"/>
          <w:sz w:val="32"/>
          <w:szCs w:val="32"/>
        </w:rPr>
      </w:pPr>
      <w:bookmarkStart w:id="25" w:name="_Toc6853"/>
      <w:r>
        <w:rPr>
          <w:rFonts w:ascii="仿宋" w:eastAsia="仿宋" w:hAnsi="仿宋" w:hint="eastAsia"/>
          <w:sz w:val="32"/>
          <w:szCs w:val="32"/>
        </w:rPr>
        <w:t>通过微生物与免疫学的学习使学生掌握微生物与免疫的基本理论，明确微生物与免疫在老年人服务与管理的应用，启发学生在以后护理中的新思维，为日后的工作打下良好的基础</w:t>
      </w:r>
    </w:p>
    <w:p w14:paraId="1D6A1EB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6、中医护理学（54学时）</w:t>
      </w:r>
      <w:bookmarkEnd w:id="25"/>
    </w:p>
    <w:p w14:paraId="0B28BE07"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基本知识部分涵盖中医学最基本的理论知识，通过讲解力求使学生对中医有较为完整系统的认识，包含了中医特色的饮食、情志、运动、用药和针灸调护等内容，教学过程中以实验实训临床为主，以加强学生的动手能力，通过学习，使学生在了解中医学生理、病理及诊治基本知识的基础上，掌握中医护理的基本理念、基本方法和基本技术，为以后的工作打下良好基础</w:t>
      </w:r>
    </w:p>
    <w:p w14:paraId="350ED5D4" w14:textId="77777777" w:rsidR="00000000" w:rsidRDefault="00000000">
      <w:pPr>
        <w:spacing w:line="580" w:lineRule="exact"/>
        <w:ind w:firstLineChars="200" w:firstLine="640"/>
        <w:rPr>
          <w:rFonts w:ascii="仿宋" w:eastAsia="仿宋" w:hAnsi="仿宋" w:hint="eastAsia"/>
          <w:sz w:val="32"/>
          <w:szCs w:val="32"/>
        </w:rPr>
      </w:pPr>
      <w:bookmarkStart w:id="26" w:name="_Toc25800"/>
      <w:r>
        <w:rPr>
          <w:rFonts w:ascii="仿宋" w:eastAsia="仿宋" w:hAnsi="仿宋" w:hint="eastAsia"/>
          <w:sz w:val="32"/>
          <w:szCs w:val="32"/>
        </w:rPr>
        <w:t>7、基础护理学（166学时）</w:t>
      </w:r>
      <w:bookmarkEnd w:id="26"/>
    </w:p>
    <w:p w14:paraId="152E043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基础护理学》是老年人服务与管理体系中一门重要的核心课程，是各护理的基础，通过本课程的学习，使其具备一定的基本操作的技能，培养职业素养和职业能力，为学生日后的学习做好基本理论、基本知识和基本技术能力的储备，为以后的工作奠定好良好的基础</w:t>
      </w:r>
    </w:p>
    <w:p w14:paraId="2163FEB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8、病理学基础（216学时，其中尺规绘图12学时）</w:t>
      </w:r>
    </w:p>
    <w:p w14:paraId="14301C7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使学生掌握人体疾病发生的原因、发生机制、发展规律以及疾病过程中机体的形态结构、功能代谢变化和病变转归。</w:t>
      </w:r>
    </w:p>
    <w:p w14:paraId="14C17EA4"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9、药物学基础（216学时）</w:t>
      </w:r>
    </w:p>
    <w:p w14:paraId="5E2418E4" w14:textId="77777777" w:rsidR="00000000" w:rsidRDefault="00000000">
      <w:pPr>
        <w:spacing w:line="580" w:lineRule="exact"/>
        <w:ind w:firstLineChars="200" w:firstLine="640"/>
        <w:rPr>
          <w:rFonts w:ascii="仿宋_GB2312" w:eastAsia="仿宋_GB2312" w:hAnsi="宋体" w:hint="eastAsia"/>
          <w:bCs/>
          <w:sz w:val="28"/>
          <w:szCs w:val="28"/>
        </w:rPr>
      </w:pPr>
      <w:r>
        <w:rPr>
          <w:rFonts w:ascii="仿宋" w:eastAsia="仿宋" w:hAnsi="仿宋" w:hint="eastAsia"/>
          <w:sz w:val="32"/>
          <w:szCs w:val="32"/>
        </w:rPr>
        <w:t>药物学基础是护理专业的一门主干专业课程，主要内容包括药物的作用、用途、用法、不良反应和用药注意事项。使本专业学生具备必需的药物学基本知识和基本技能，为学习护理专业的知识、技能及做好护理工作打下一定的基础。</w:t>
      </w:r>
    </w:p>
    <w:p w14:paraId="29DBCF53"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t>七、教学进程总体安排</w:t>
      </w:r>
    </w:p>
    <w:p w14:paraId="70AD7D97" w14:textId="77777777" w:rsidR="00000000" w:rsidRDefault="00000000">
      <w:pPr>
        <w:spacing w:line="460" w:lineRule="atLeast"/>
        <w:rPr>
          <w:rFonts w:ascii="仿宋_GB2312" w:eastAsia="仿宋_GB2312" w:hAnsi="宋体" w:hint="eastAsi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2249"/>
        <w:gridCol w:w="710"/>
        <w:gridCol w:w="671"/>
        <w:gridCol w:w="592"/>
        <w:gridCol w:w="665"/>
        <w:gridCol w:w="716"/>
        <w:gridCol w:w="789"/>
        <w:gridCol w:w="1578"/>
      </w:tblGrid>
      <w:tr w:rsidR="00000000" w14:paraId="5231EBCF" w14:textId="77777777">
        <w:trPr>
          <w:trHeight w:val="624"/>
        </w:trPr>
        <w:tc>
          <w:tcPr>
            <w:tcW w:w="513" w:type="dxa"/>
            <w:vMerge w:val="restart"/>
            <w:vAlign w:val="center"/>
          </w:tcPr>
          <w:p w14:paraId="4AB7ECE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类型</w:t>
            </w:r>
          </w:p>
        </w:tc>
        <w:tc>
          <w:tcPr>
            <w:tcW w:w="2249" w:type="dxa"/>
            <w:vMerge w:val="restart"/>
            <w:vAlign w:val="center"/>
          </w:tcPr>
          <w:p w14:paraId="0D08859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课程名称</w:t>
            </w:r>
          </w:p>
        </w:tc>
        <w:tc>
          <w:tcPr>
            <w:tcW w:w="4143" w:type="dxa"/>
            <w:gridSpan w:val="6"/>
            <w:vAlign w:val="center"/>
          </w:tcPr>
          <w:p w14:paraId="1AF95DE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学期、周数与课时分配</w:t>
            </w:r>
          </w:p>
        </w:tc>
        <w:tc>
          <w:tcPr>
            <w:tcW w:w="1578" w:type="dxa"/>
            <w:vMerge w:val="restart"/>
            <w:vAlign w:val="center"/>
          </w:tcPr>
          <w:p w14:paraId="6B951AC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教材选用</w:t>
            </w:r>
          </w:p>
        </w:tc>
      </w:tr>
      <w:tr w:rsidR="00000000" w14:paraId="40C0EF0C" w14:textId="77777777">
        <w:trPr>
          <w:trHeight w:val="286"/>
        </w:trPr>
        <w:tc>
          <w:tcPr>
            <w:tcW w:w="513" w:type="dxa"/>
            <w:vMerge/>
            <w:vAlign w:val="center"/>
          </w:tcPr>
          <w:p w14:paraId="60304D06" w14:textId="77777777" w:rsidR="00000000" w:rsidRDefault="00000000">
            <w:pPr>
              <w:widowControl/>
              <w:jc w:val="center"/>
              <w:rPr>
                <w:rFonts w:ascii="宋体" w:hAnsi="宋体" w:cs="宋体" w:hint="eastAsia"/>
                <w:kern w:val="0"/>
                <w:sz w:val="18"/>
                <w:szCs w:val="18"/>
              </w:rPr>
            </w:pPr>
          </w:p>
        </w:tc>
        <w:tc>
          <w:tcPr>
            <w:tcW w:w="2249" w:type="dxa"/>
            <w:vMerge/>
            <w:vAlign w:val="center"/>
          </w:tcPr>
          <w:p w14:paraId="3807BD71" w14:textId="77777777" w:rsidR="00000000" w:rsidRDefault="00000000">
            <w:pPr>
              <w:widowControl/>
              <w:jc w:val="center"/>
              <w:rPr>
                <w:rFonts w:ascii="宋体" w:hAnsi="宋体" w:cs="宋体" w:hint="eastAsia"/>
                <w:kern w:val="0"/>
                <w:sz w:val="18"/>
                <w:szCs w:val="18"/>
              </w:rPr>
            </w:pPr>
          </w:p>
        </w:tc>
        <w:tc>
          <w:tcPr>
            <w:tcW w:w="710" w:type="dxa"/>
            <w:vAlign w:val="center"/>
          </w:tcPr>
          <w:p w14:paraId="1BFB5ED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71" w:type="dxa"/>
            <w:vAlign w:val="center"/>
          </w:tcPr>
          <w:p w14:paraId="1572EA5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74953CA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1C45018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1E59564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w:t>
            </w:r>
          </w:p>
        </w:tc>
        <w:tc>
          <w:tcPr>
            <w:tcW w:w="789" w:type="dxa"/>
            <w:vAlign w:val="center"/>
          </w:tcPr>
          <w:p w14:paraId="644F329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1578" w:type="dxa"/>
            <w:vMerge/>
            <w:vAlign w:val="center"/>
          </w:tcPr>
          <w:p w14:paraId="4D54940F" w14:textId="77777777" w:rsidR="00000000" w:rsidRDefault="00000000">
            <w:pPr>
              <w:widowControl/>
              <w:jc w:val="center"/>
              <w:rPr>
                <w:rFonts w:ascii="宋体" w:hAnsi="宋体" w:cs="宋体" w:hint="eastAsia"/>
                <w:kern w:val="0"/>
                <w:sz w:val="18"/>
                <w:szCs w:val="18"/>
              </w:rPr>
            </w:pPr>
          </w:p>
        </w:tc>
      </w:tr>
      <w:tr w:rsidR="00000000" w14:paraId="18E58A04" w14:textId="77777777">
        <w:trPr>
          <w:trHeight w:val="278"/>
        </w:trPr>
        <w:tc>
          <w:tcPr>
            <w:tcW w:w="513" w:type="dxa"/>
            <w:vMerge/>
            <w:vAlign w:val="center"/>
          </w:tcPr>
          <w:p w14:paraId="449F72E8" w14:textId="77777777" w:rsidR="00000000" w:rsidRDefault="00000000">
            <w:pPr>
              <w:widowControl/>
              <w:jc w:val="center"/>
              <w:rPr>
                <w:rFonts w:ascii="宋体" w:hAnsi="宋体" w:cs="宋体" w:hint="eastAsia"/>
                <w:kern w:val="0"/>
                <w:sz w:val="18"/>
                <w:szCs w:val="18"/>
              </w:rPr>
            </w:pPr>
          </w:p>
        </w:tc>
        <w:tc>
          <w:tcPr>
            <w:tcW w:w="2249" w:type="dxa"/>
            <w:vMerge/>
            <w:vAlign w:val="center"/>
          </w:tcPr>
          <w:p w14:paraId="3407F610" w14:textId="77777777" w:rsidR="00000000" w:rsidRDefault="00000000">
            <w:pPr>
              <w:widowControl/>
              <w:jc w:val="center"/>
              <w:rPr>
                <w:rFonts w:ascii="宋体" w:hAnsi="宋体" w:cs="宋体" w:hint="eastAsia"/>
                <w:kern w:val="0"/>
                <w:sz w:val="18"/>
                <w:szCs w:val="18"/>
              </w:rPr>
            </w:pPr>
          </w:p>
        </w:tc>
        <w:tc>
          <w:tcPr>
            <w:tcW w:w="710" w:type="dxa"/>
            <w:vAlign w:val="center"/>
          </w:tcPr>
          <w:p w14:paraId="30779E1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71" w:type="dxa"/>
            <w:vAlign w:val="center"/>
          </w:tcPr>
          <w:p w14:paraId="77F9209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592" w:type="dxa"/>
            <w:vAlign w:val="center"/>
          </w:tcPr>
          <w:p w14:paraId="2B631B5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665" w:type="dxa"/>
            <w:vAlign w:val="center"/>
          </w:tcPr>
          <w:p w14:paraId="141CA92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16" w:type="dxa"/>
            <w:vAlign w:val="center"/>
          </w:tcPr>
          <w:p w14:paraId="2A92212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18</w:t>
            </w:r>
          </w:p>
        </w:tc>
        <w:tc>
          <w:tcPr>
            <w:tcW w:w="789" w:type="dxa"/>
            <w:vAlign w:val="center"/>
          </w:tcPr>
          <w:p w14:paraId="430D87F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20</w:t>
            </w:r>
          </w:p>
        </w:tc>
        <w:tc>
          <w:tcPr>
            <w:tcW w:w="1578" w:type="dxa"/>
            <w:vMerge/>
            <w:vAlign w:val="center"/>
          </w:tcPr>
          <w:p w14:paraId="7924EEAE" w14:textId="77777777" w:rsidR="00000000" w:rsidRDefault="00000000">
            <w:pPr>
              <w:widowControl/>
              <w:jc w:val="center"/>
              <w:rPr>
                <w:rFonts w:ascii="宋体" w:hAnsi="宋体" w:cs="宋体" w:hint="eastAsia"/>
                <w:kern w:val="0"/>
                <w:sz w:val="18"/>
                <w:szCs w:val="18"/>
              </w:rPr>
            </w:pPr>
          </w:p>
        </w:tc>
      </w:tr>
      <w:tr w:rsidR="00000000" w14:paraId="2E9ED9EA" w14:textId="77777777">
        <w:trPr>
          <w:trHeight w:hRule="exact" w:val="461"/>
        </w:trPr>
        <w:tc>
          <w:tcPr>
            <w:tcW w:w="513" w:type="dxa"/>
            <w:vMerge w:val="restart"/>
            <w:vAlign w:val="center"/>
          </w:tcPr>
          <w:p w14:paraId="38EC783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德  育课程</w:t>
            </w:r>
          </w:p>
        </w:tc>
        <w:tc>
          <w:tcPr>
            <w:tcW w:w="2249" w:type="dxa"/>
            <w:vAlign w:val="center"/>
          </w:tcPr>
          <w:p w14:paraId="62CCE21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心理健康教育</w:t>
            </w:r>
          </w:p>
        </w:tc>
        <w:tc>
          <w:tcPr>
            <w:tcW w:w="710" w:type="dxa"/>
            <w:vAlign w:val="center"/>
          </w:tcPr>
          <w:p w14:paraId="690AA62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58962F64" w14:textId="77777777" w:rsidR="00000000" w:rsidRDefault="00000000">
            <w:pPr>
              <w:widowControl/>
              <w:jc w:val="center"/>
              <w:rPr>
                <w:rFonts w:ascii="宋体" w:hAnsi="宋体" w:cs="宋体" w:hint="eastAsia"/>
                <w:kern w:val="0"/>
                <w:sz w:val="18"/>
                <w:szCs w:val="18"/>
              </w:rPr>
            </w:pPr>
          </w:p>
        </w:tc>
        <w:tc>
          <w:tcPr>
            <w:tcW w:w="592" w:type="dxa"/>
            <w:vAlign w:val="center"/>
          </w:tcPr>
          <w:p w14:paraId="14A4F2C3" w14:textId="77777777" w:rsidR="00000000" w:rsidRDefault="00000000">
            <w:pPr>
              <w:widowControl/>
              <w:jc w:val="center"/>
              <w:rPr>
                <w:rFonts w:ascii="宋体" w:hAnsi="宋体" w:cs="宋体" w:hint="eastAsia"/>
                <w:kern w:val="0"/>
                <w:sz w:val="18"/>
                <w:szCs w:val="18"/>
              </w:rPr>
            </w:pPr>
          </w:p>
        </w:tc>
        <w:tc>
          <w:tcPr>
            <w:tcW w:w="665" w:type="dxa"/>
            <w:vAlign w:val="center"/>
          </w:tcPr>
          <w:p w14:paraId="1701D7BE" w14:textId="77777777" w:rsidR="00000000" w:rsidRDefault="00000000">
            <w:pPr>
              <w:widowControl/>
              <w:jc w:val="center"/>
              <w:rPr>
                <w:rFonts w:ascii="宋体" w:hAnsi="宋体" w:cs="宋体" w:hint="eastAsia"/>
                <w:kern w:val="0"/>
                <w:sz w:val="18"/>
                <w:szCs w:val="18"/>
              </w:rPr>
            </w:pPr>
          </w:p>
        </w:tc>
        <w:tc>
          <w:tcPr>
            <w:tcW w:w="716" w:type="dxa"/>
            <w:vAlign w:val="center"/>
          </w:tcPr>
          <w:p w14:paraId="3CBE50A4" w14:textId="77777777" w:rsidR="00000000" w:rsidRDefault="00000000">
            <w:pPr>
              <w:widowControl/>
              <w:jc w:val="center"/>
              <w:rPr>
                <w:rFonts w:ascii="宋体" w:hAnsi="宋体" w:cs="宋体" w:hint="eastAsia"/>
                <w:kern w:val="0"/>
                <w:sz w:val="18"/>
                <w:szCs w:val="18"/>
              </w:rPr>
            </w:pPr>
          </w:p>
        </w:tc>
        <w:tc>
          <w:tcPr>
            <w:tcW w:w="789" w:type="dxa"/>
            <w:vAlign w:val="center"/>
          </w:tcPr>
          <w:p w14:paraId="6C287B64" w14:textId="77777777" w:rsidR="00000000" w:rsidRDefault="00000000">
            <w:pPr>
              <w:widowControl/>
              <w:jc w:val="center"/>
              <w:rPr>
                <w:rFonts w:ascii="宋体" w:hAnsi="宋体" w:cs="宋体" w:hint="eastAsia"/>
                <w:kern w:val="0"/>
                <w:sz w:val="18"/>
                <w:szCs w:val="18"/>
              </w:rPr>
            </w:pPr>
          </w:p>
        </w:tc>
        <w:tc>
          <w:tcPr>
            <w:tcW w:w="1578" w:type="dxa"/>
            <w:vAlign w:val="center"/>
          </w:tcPr>
          <w:p w14:paraId="6812A70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D51D02F" w14:textId="77777777">
        <w:trPr>
          <w:trHeight w:hRule="exact" w:val="603"/>
        </w:trPr>
        <w:tc>
          <w:tcPr>
            <w:tcW w:w="513" w:type="dxa"/>
            <w:vMerge/>
            <w:vAlign w:val="center"/>
          </w:tcPr>
          <w:p w14:paraId="1F1AB117" w14:textId="77777777" w:rsidR="00000000" w:rsidRDefault="00000000">
            <w:pPr>
              <w:widowControl/>
              <w:jc w:val="center"/>
              <w:rPr>
                <w:rFonts w:ascii="宋体" w:hAnsi="宋体" w:cs="宋体" w:hint="eastAsia"/>
                <w:kern w:val="0"/>
                <w:sz w:val="18"/>
                <w:szCs w:val="18"/>
              </w:rPr>
            </w:pPr>
          </w:p>
        </w:tc>
        <w:tc>
          <w:tcPr>
            <w:tcW w:w="2249" w:type="dxa"/>
            <w:vAlign w:val="center"/>
          </w:tcPr>
          <w:p w14:paraId="5E0872FB" w14:textId="77777777" w:rsidR="00000000" w:rsidRDefault="00000000">
            <w:pPr>
              <w:widowControl/>
              <w:jc w:val="center"/>
              <w:rPr>
                <w:rFonts w:ascii="宋体" w:hAnsi="宋体" w:cs="宋体"/>
                <w:kern w:val="0"/>
                <w:sz w:val="18"/>
                <w:szCs w:val="18"/>
                <w:lang w:eastAsia="zh-Hans"/>
              </w:rPr>
            </w:pPr>
            <w:r>
              <w:rPr>
                <w:rFonts w:ascii="宋体" w:hAnsi="宋体" w:cs="宋体" w:hint="eastAsia"/>
                <w:kern w:val="0"/>
                <w:sz w:val="18"/>
                <w:szCs w:val="18"/>
              </w:rPr>
              <w:t>职业</w:t>
            </w:r>
            <w:r>
              <w:rPr>
                <w:rFonts w:ascii="宋体" w:hAnsi="宋体" w:cs="宋体" w:hint="eastAsia"/>
                <w:kern w:val="0"/>
                <w:sz w:val="18"/>
                <w:szCs w:val="18"/>
                <w:lang w:eastAsia="zh-Hans"/>
              </w:rPr>
              <w:t>道德与职业指导</w:t>
            </w:r>
          </w:p>
        </w:tc>
        <w:tc>
          <w:tcPr>
            <w:tcW w:w="710" w:type="dxa"/>
            <w:vAlign w:val="center"/>
          </w:tcPr>
          <w:p w14:paraId="052FE6C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671" w:type="dxa"/>
            <w:vAlign w:val="center"/>
          </w:tcPr>
          <w:p w14:paraId="19B5CAE5" w14:textId="77777777" w:rsidR="00000000" w:rsidRDefault="00000000">
            <w:pPr>
              <w:widowControl/>
              <w:jc w:val="center"/>
              <w:rPr>
                <w:rFonts w:ascii="宋体" w:hAnsi="宋体" w:cs="宋体" w:hint="eastAsia"/>
                <w:kern w:val="0"/>
                <w:sz w:val="18"/>
                <w:szCs w:val="18"/>
              </w:rPr>
            </w:pPr>
          </w:p>
        </w:tc>
        <w:tc>
          <w:tcPr>
            <w:tcW w:w="592" w:type="dxa"/>
            <w:vAlign w:val="center"/>
          </w:tcPr>
          <w:p w14:paraId="6E35822A" w14:textId="77777777" w:rsidR="00000000" w:rsidRDefault="00000000">
            <w:pPr>
              <w:widowControl/>
              <w:jc w:val="center"/>
              <w:rPr>
                <w:rFonts w:ascii="宋体" w:hAnsi="宋体" w:cs="宋体" w:hint="eastAsia"/>
                <w:kern w:val="0"/>
                <w:sz w:val="18"/>
                <w:szCs w:val="18"/>
              </w:rPr>
            </w:pPr>
          </w:p>
        </w:tc>
        <w:tc>
          <w:tcPr>
            <w:tcW w:w="665" w:type="dxa"/>
            <w:vAlign w:val="center"/>
          </w:tcPr>
          <w:p w14:paraId="15CF7055" w14:textId="77777777" w:rsidR="00000000" w:rsidRDefault="00000000">
            <w:pPr>
              <w:widowControl/>
              <w:jc w:val="center"/>
              <w:rPr>
                <w:rFonts w:ascii="宋体" w:hAnsi="宋体" w:cs="宋体" w:hint="eastAsia"/>
                <w:kern w:val="0"/>
                <w:sz w:val="18"/>
                <w:szCs w:val="18"/>
              </w:rPr>
            </w:pPr>
          </w:p>
        </w:tc>
        <w:tc>
          <w:tcPr>
            <w:tcW w:w="716" w:type="dxa"/>
            <w:vAlign w:val="center"/>
          </w:tcPr>
          <w:p w14:paraId="52153615" w14:textId="77777777" w:rsidR="00000000" w:rsidRDefault="00000000">
            <w:pPr>
              <w:widowControl/>
              <w:jc w:val="center"/>
              <w:rPr>
                <w:rFonts w:ascii="宋体" w:hAnsi="宋体" w:cs="宋体" w:hint="eastAsia"/>
                <w:kern w:val="0"/>
                <w:sz w:val="18"/>
                <w:szCs w:val="18"/>
              </w:rPr>
            </w:pPr>
          </w:p>
        </w:tc>
        <w:tc>
          <w:tcPr>
            <w:tcW w:w="789" w:type="dxa"/>
            <w:vAlign w:val="center"/>
          </w:tcPr>
          <w:p w14:paraId="12C8AF3B" w14:textId="77777777" w:rsidR="00000000" w:rsidRDefault="00000000">
            <w:pPr>
              <w:widowControl/>
              <w:jc w:val="center"/>
              <w:rPr>
                <w:rFonts w:ascii="宋体" w:hAnsi="宋体" w:cs="宋体" w:hint="eastAsia"/>
                <w:kern w:val="0"/>
                <w:sz w:val="18"/>
                <w:szCs w:val="18"/>
              </w:rPr>
            </w:pPr>
          </w:p>
        </w:tc>
        <w:tc>
          <w:tcPr>
            <w:tcW w:w="1578" w:type="dxa"/>
            <w:vAlign w:val="center"/>
          </w:tcPr>
          <w:p w14:paraId="37F7179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FEEF288" w14:textId="77777777">
        <w:trPr>
          <w:trHeight w:hRule="exact" w:val="468"/>
        </w:trPr>
        <w:tc>
          <w:tcPr>
            <w:tcW w:w="513" w:type="dxa"/>
            <w:vMerge/>
            <w:vAlign w:val="center"/>
          </w:tcPr>
          <w:p w14:paraId="66AC4EFF" w14:textId="77777777" w:rsidR="00000000" w:rsidRDefault="00000000">
            <w:pPr>
              <w:widowControl/>
              <w:jc w:val="center"/>
              <w:rPr>
                <w:rFonts w:ascii="宋体" w:hAnsi="宋体" w:cs="宋体" w:hint="eastAsia"/>
                <w:kern w:val="0"/>
                <w:sz w:val="18"/>
                <w:szCs w:val="18"/>
              </w:rPr>
            </w:pPr>
          </w:p>
        </w:tc>
        <w:tc>
          <w:tcPr>
            <w:tcW w:w="2249" w:type="dxa"/>
            <w:vAlign w:val="center"/>
          </w:tcPr>
          <w:p w14:paraId="7B5F881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法律基础</w:t>
            </w:r>
          </w:p>
        </w:tc>
        <w:tc>
          <w:tcPr>
            <w:tcW w:w="710" w:type="dxa"/>
            <w:vAlign w:val="center"/>
          </w:tcPr>
          <w:p w14:paraId="1AF5CDED" w14:textId="77777777" w:rsidR="00000000" w:rsidRDefault="00000000">
            <w:pPr>
              <w:widowControl/>
              <w:jc w:val="center"/>
              <w:rPr>
                <w:rFonts w:ascii="宋体" w:hAnsi="宋体" w:cs="宋体" w:hint="eastAsia"/>
                <w:kern w:val="0"/>
                <w:sz w:val="18"/>
                <w:szCs w:val="18"/>
              </w:rPr>
            </w:pPr>
          </w:p>
        </w:tc>
        <w:tc>
          <w:tcPr>
            <w:tcW w:w="671" w:type="dxa"/>
            <w:vAlign w:val="center"/>
          </w:tcPr>
          <w:p w14:paraId="62E9CDA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3E8316E5" w14:textId="77777777" w:rsidR="00000000" w:rsidRDefault="00000000">
            <w:pPr>
              <w:widowControl/>
              <w:jc w:val="center"/>
              <w:rPr>
                <w:rFonts w:ascii="宋体" w:hAnsi="宋体" w:cs="宋体" w:hint="eastAsia"/>
                <w:kern w:val="0"/>
                <w:sz w:val="18"/>
                <w:szCs w:val="18"/>
              </w:rPr>
            </w:pPr>
          </w:p>
        </w:tc>
        <w:tc>
          <w:tcPr>
            <w:tcW w:w="665" w:type="dxa"/>
            <w:vAlign w:val="center"/>
          </w:tcPr>
          <w:p w14:paraId="461234DE" w14:textId="77777777" w:rsidR="00000000" w:rsidRDefault="00000000">
            <w:pPr>
              <w:widowControl/>
              <w:jc w:val="center"/>
              <w:rPr>
                <w:rFonts w:ascii="宋体" w:hAnsi="宋体" w:cs="宋体" w:hint="eastAsia"/>
                <w:kern w:val="0"/>
                <w:sz w:val="18"/>
                <w:szCs w:val="18"/>
              </w:rPr>
            </w:pPr>
          </w:p>
        </w:tc>
        <w:tc>
          <w:tcPr>
            <w:tcW w:w="716" w:type="dxa"/>
            <w:vAlign w:val="center"/>
          </w:tcPr>
          <w:p w14:paraId="43831525" w14:textId="77777777" w:rsidR="00000000" w:rsidRDefault="00000000">
            <w:pPr>
              <w:widowControl/>
              <w:jc w:val="center"/>
              <w:rPr>
                <w:rFonts w:ascii="宋体" w:hAnsi="宋体" w:cs="宋体" w:hint="eastAsia"/>
                <w:kern w:val="0"/>
                <w:sz w:val="18"/>
                <w:szCs w:val="18"/>
              </w:rPr>
            </w:pPr>
          </w:p>
        </w:tc>
        <w:tc>
          <w:tcPr>
            <w:tcW w:w="789" w:type="dxa"/>
            <w:vAlign w:val="center"/>
          </w:tcPr>
          <w:p w14:paraId="16CF06E2" w14:textId="77777777" w:rsidR="00000000" w:rsidRDefault="00000000">
            <w:pPr>
              <w:widowControl/>
              <w:jc w:val="center"/>
              <w:rPr>
                <w:rFonts w:ascii="宋体" w:hAnsi="宋体" w:cs="宋体" w:hint="eastAsia"/>
                <w:kern w:val="0"/>
                <w:sz w:val="18"/>
                <w:szCs w:val="18"/>
              </w:rPr>
            </w:pPr>
          </w:p>
        </w:tc>
        <w:tc>
          <w:tcPr>
            <w:tcW w:w="1578" w:type="dxa"/>
            <w:vAlign w:val="center"/>
          </w:tcPr>
          <w:p w14:paraId="1F47C8C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D9E9214" w14:textId="77777777">
        <w:trPr>
          <w:trHeight w:hRule="exact" w:val="631"/>
        </w:trPr>
        <w:tc>
          <w:tcPr>
            <w:tcW w:w="513" w:type="dxa"/>
            <w:vMerge/>
            <w:vAlign w:val="center"/>
          </w:tcPr>
          <w:p w14:paraId="2CDB1CA1" w14:textId="77777777" w:rsidR="00000000" w:rsidRDefault="00000000">
            <w:pPr>
              <w:widowControl/>
              <w:jc w:val="center"/>
              <w:rPr>
                <w:rFonts w:ascii="宋体" w:hAnsi="宋体" w:cs="宋体" w:hint="eastAsia"/>
                <w:kern w:val="0"/>
                <w:sz w:val="18"/>
                <w:szCs w:val="18"/>
              </w:rPr>
            </w:pPr>
          </w:p>
        </w:tc>
        <w:tc>
          <w:tcPr>
            <w:tcW w:w="2249" w:type="dxa"/>
            <w:vAlign w:val="center"/>
          </w:tcPr>
          <w:p w14:paraId="6CE6226E" w14:textId="77777777" w:rsidR="00000000" w:rsidRDefault="00000000">
            <w:pPr>
              <w:widowControl/>
              <w:jc w:val="center"/>
              <w:rPr>
                <w:rFonts w:ascii="宋体" w:hAnsi="宋体" w:cs="宋体" w:hint="eastAsia"/>
                <w:kern w:val="0"/>
                <w:sz w:val="18"/>
                <w:szCs w:val="18"/>
                <w:lang w:eastAsia="zh-Hans"/>
              </w:rPr>
            </w:pPr>
            <w:r>
              <w:rPr>
                <w:rFonts w:ascii="宋体" w:hAnsi="宋体" w:cs="宋体" w:hint="eastAsia"/>
                <w:kern w:val="0"/>
                <w:sz w:val="18"/>
                <w:szCs w:val="18"/>
                <w:lang w:eastAsia="zh-Hans"/>
              </w:rPr>
              <w:t>政治</w:t>
            </w:r>
          </w:p>
        </w:tc>
        <w:tc>
          <w:tcPr>
            <w:tcW w:w="710" w:type="dxa"/>
            <w:vAlign w:val="center"/>
          </w:tcPr>
          <w:p w14:paraId="53C3BCE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173326A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05F107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7A0679D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657E2A0A" w14:textId="77777777" w:rsidR="00000000" w:rsidRDefault="00000000">
            <w:pPr>
              <w:widowControl/>
              <w:jc w:val="center"/>
              <w:rPr>
                <w:rFonts w:ascii="宋体" w:hAnsi="宋体" w:cs="宋体" w:hint="eastAsia"/>
                <w:kern w:val="0"/>
                <w:sz w:val="18"/>
                <w:szCs w:val="18"/>
              </w:rPr>
            </w:pPr>
          </w:p>
        </w:tc>
        <w:tc>
          <w:tcPr>
            <w:tcW w:w="789" w:type="dxa"/>
            <w:vAlign w:val="center"/>
          </w:tcPr>
          <w:p w14:paraId="341FAD28" w14:textId="77777777" w:rsidR="00000000" w:rsidRDefault="00000000">
            <w:pPr>
              <w:widowControl/>
              <w:jc w:val="center"/>
              <w:rPr>
                <w:rFonts w:ascii="宋体" w:hAnsi="宋体" w:cs="宋体" w:hint="eastAsia"/>
                <w:kern w:val="0"/>
                <w:sz w:val="18"/>
                <w:szCs w:val="18"/>
              </w:rPr>
            </w:pPr>
          </w:p>
        </w:tc>
        <w:tc>
          <w:tcPr>
            <w:tcW w:w="1578" w:type="dxa"/>
            <w:vAlign w:val="center"/>
          </w:tcPr>
          <w:p w14:paraId="3E42A41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8755CD6" w14:textId="77777777">
        <w:trPr>
          <w:trHeight w:hRule="exact" w:val="631"/>
        </w:trPr>
        <w:tc>
          <w:tcPr>
            <w:tcW w:w="513" w:type="dxa"/>
            <w:vMerge/>
            <w:vAlign w:val="center"/>
          </w:tcPr>
          <w:p w14:paraId="6756BCD0" w14:textId="77777777" w:rsidR="00000000" w:rsidRDefault="00000000">
            <w:pPr>
              <w:widowControl/>
              <w:jc w:val="center"/>
              <w:rPr>
                <w:rFonts w:ascii="宋体" w:hAnsi="宋体" w:cs="宋体" w:hint="eastAsia"/>
                <w:kern w:val="0"/>
                <w:sz w:val="18"/>
                <w:szCs w:val="18"/>
              </w:rPr>
            </w:pPr>
          </w:p>
        </w:tc>
        <w:tc>
          <w:tcPr>
            <w:tcW w:w="2249" w:type="dxa"/>
            <w:vAlign w:val="center"/>
          </w:tcPr>
          <w:p w14:paraId="05967692" w14:textId="77777777" w:rsidR="00000000" w:rsidRDefault="00000000">
            <w:pPr>
              <w:widowControl/>
              <w:jc w:val="center"/>
              <w:rPr>
                <w:rFonts w:ascii="宋体" w:hAnsi="宋体" w:cs="宋体"/>
                <w:kern w:val="0"/>
                <w:sz w:val="18"/>
                <w:szCs w:val="18"/>
                <w:lang w:eastAsia="zh-Hans"/>
              </w:rPr>
            </w:pPr>
            <w:r>
              <w:rPr>
                <w:rFonts w:ascii="宋体" w:hAnsi="宋体" w:cs="宋体" w:hint="eastAsia"/>
                <w:kern w:val="0"/>
                <w:sz w:val="18"/>
                <w:szCs w:val="18"/>
                <w:lang w:eastAsia="zh-Hans"/>
              </w:rPr>
              <w:t>哲学基础知识</w:t>
            </w:r>
          </w:p>
        </w:tc>
        <w:tc>
          <w:tcPr>
            <w:tcW w:w="710" w:type="dxa"/>
            <w:vAlign w:val="center"/>
          </w:tcPr>
          <w:p w14:paraId="784F6DF1" w14:textId="77777777" w:rsidR="00000000" w:rsidRDefault="00000000">
            <w:pPr>
              <w:widowControl/>
              <w:jc w:val="center"/>
              <w:rPr>
                <w:rFonts w:ascii="宋体" w:hAnsi="宋体" w:cs="宋体" w:hint="eastAsia"/>
                <w:kern w:val="0"/>
                <w:sz w:val="18"/>
                <w:szCs w:val="18"/>
              </w:rPr>
            </w:pPr>
          </w:p>
        </w:tc>
        <w:tc>
          <w:tcPr>
            <w:tcW w:w="671" w:type="dxa"/>
            <w:vAlign w:val="center"/>
          </w:tcPr>
          <w:p w14:paraId="1A39AB84" w14:textId="77777777" w:rsidR="00000000" w:rsidRDefault="00000000">
            <w:pPr>
              <w:widowControl/>
              <w:jc w:val="center"/>
              <w:rPr>
                <w:rFonts w:ascii="宋体" w:hAnsi="宋体" w:cs="宋体" w:hint="eastAsia"/>
                <w:kern w:val="0"/>
                <w:sz w:val="18"/>
                <w:szCs w:val="18"/>
              </w:rPr>
            </w:pPr>
          </w:p>
        </w:tc>
        <w:tc>
          <w:tcPr>
            <w:tcW w:w="592" w:type="dxa"/>
            <w:vAlign w:val="center"/>
          </w:tcPr>
          <w:p w14:paraId="3175AF43" w14:textId="77777777" w:rsidR="00000000" w:rsidRDefault="00000000">
            <w:pPr>
              <w:widowControl/>
              <w:jc w:val="center"/>
              <w:rPr>
                <w:rFonts w:ascii="宋体" w:hAnsi="宋体" w:cs="宋体" w:hint="eastAsia"/>
                <w:kern w:val="0"/>
                <w:sz w:val="18"/>
                <w:szCs w:val="18"/>
              </w:rPr>
            </w:pPr>
          </w:p>
        </w:tc>
        <w:tc>
          <w:tcPr>
            <w:tcW w:w="665" w:type="dxa"/>
            <w:vAlign w:val="center"/>
          </w:tcPr>
          <w:p w14:paraId="0AD15BAF" w14:textId="77777777" w:rsidR="00000000" w:rsidRDefault="00000000">
            <w:pPr>
              <w:widowControl/>
              <w:jc w:val="center"/>
              <w:rPr>
                <w:rFonts w:ascii="宋体" w:hAnsi="宋体" w:cs="宋体" w:hint="eastAsia"/>
                <w:kern w:val="0"/>
                <w:sz w:val="18"/>
                <w:szCs w:val="18"/>
              </w:rPr>
            </w:pPr>
          </w:p>
        </w:tc>
        <w:tc>
          <w:tcPr>
            <w:tcW w:w="716" w:type="dxa"/>
            <w:vAlign w:val="center"/>
          </w:tcPr>
          <w:p w14:paraId="1CB700D9" w14:textId="77777777" w:rsidR="00000000" w:rsidRDefault="00000000">
            <w:pPr>
              <w:widowControl/>
              <w:jc w:val="center"/>
              <w:rPr>
                <w:rFonts w:ascii="宋体" w:hAnsi="宋体" w:cs="宋体"/>
                <w:kern w:val="0"/>
                <w:sz w:val="18"/>
                <w:szCs w:val="18"/>
              </w:rPr>
            </w:pPr>
            <w:r>
              <w:rPr>
                <w:rFonts w:ascii="宋体" w:hAnsi="宋体" w:cs="宋体"/>
                <w:kern w:val="0"/>
                <w:sz w:val="18"/>
                <w:szCs w:val="18"/>
              </w:rPr>
              <w:t>2</w:t>
            </w:r>
          </w:p>
        </w:tc>
        <w:tc>
          <w:tcPr>
            <w:tcW w:w="789" w:type="dxa"/>
            <w:vAlign w:val="center"/>
          </w:tcPr>
          <w:p w14:paraId="33A8481E" w14:textId="77777777" w:rsidR="00000000" w:rsidRDefault="00000000">
            <w:pPr>
              <w:widowControl/>
              <w:jc w:val="center"/>
              <w:rPr>
                <w:rFonts w:ascii="宋体" w:hAnsi="宋体" w:cs="宋体" w:hint="eastAsia"/>
                <w:kern w:val="0"/>
                <w:sz w:val="18"/>
                <w:szCs w:val="18"/>
              </w:rPr>
            </w:pPr>
          </w:p>
        </w:tc>
        <w:tc>
          <w:tcPr>
            <w:tcW w:w="1578" w:type="dxa"/>
            <w:vAlign w:val="center"/>
          </w:tcPr>
          <w:p w14:paraId="59E3851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37B9226" w14:textId="77777777">
        <w:trPr>
          <w:trHeight w:hRule="exact" w:val="631"/>
        </w:trPr>
        <w:tc>
          <w:tcPr>
            <w:tcW w:w="513" w:type="dxa"/>
            <w:vMerge/>
            <w:vAlign w:val="center"/>
          </w:tcPr>
          <w:p w14:paraId="197727EE" w14:textId="77777777" w:rsidR="00000000" w:rsidRDefault="00000000">
            <w:pPr>
              <w:widowControl/>
              <w:jc w:val="center"/>
              <w:rPr>
                <w:rFonts w:ascii="宋体" w:hAnsi="宋体" w:cs="宋体" w:hint="eastAsia"/>
                <w:kern w:val="0"/>
                <w:sz w:val="18"/>
                <w:szCs w:val="18"/>
              </w:rPr>
            </w:pPr>
          </w:p>
        </w:tc>
        <w:tc>
          <w:tcPr>
            <w:tcW w:w="2249" w:type="dxa"/>
            <w:vAlign w:val="center"/>
          </w:tcPr>
          <w:p w14:paraId="0B43930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历史</w:t>
            </w:r>
          </w:p>
        </w:tc>
        <w:tc>
          <w:tcPr>
            <w:tcW w:w="710" w:type="dxa"/>
            <w:vAlign w:val="center"/>
          </w:tcPr>
          <w:p w14:paraId="3A6D3F6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0C26188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2C88B3A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13613D7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147F4391" w14:textId="77777777" w:rsidR="00000000" w:rsidRDefault="00000000">
            <w:pPr>
              <w:widowControl/>
              <w:jc w:val="center"/>
              <w:rPr>
                <w:rFonts w:ascii="宋体" w:hAnsi="宋体" w:cs="宋体"/>
                <w:kern w:val="0"/>
                <w:sz w:val="18"/>
                <w:szCs w:val="18"/>
              </w:rPr>
            </w:pPr>
          </w:p>
        </w:tc>
        <w:tc>
          <w:tcPr>
            <w:tcW w:w="789" w:type="dxa"/>
            <w:vAlign w:val="center"/>
          </w:tcPr>
          <w:p w14:paraId="714FBC88" w14:textId="77777777" w:rsidR="00000000" w:rsidRDefault="00000000">
            <w:pPr>
              <w:widowControl/>
              <w:jc w:val="center"/>
              <w:rPr>
                <w:rFonts w:ascii="宋体" w:hAnsi="宋体" w:cs="宋体" w:hint="eastAsia"/>
                <w:kern w:val="0"/>
                <w:sz w:val="18"/>
                <w:szCs w:val="18"/>
              </w:rPr>
            </w:pPr>
          </w:p>
        </w:tc>
        <w:tc>
          <w:tcPr>
            <w:tcW w:w="1578" w:type="dxa"/>
            <w:vAlign w:val="center"/>
          </w:tcPr>
          <w:p w14:paraId="1B00A9B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自选</w:t>
            </w:r>
          </w:p>
        </w:tc>
      </w:tr>
      <w:tr w:rsidR="00000000" w14:paraId="1146938F" w14:textId="77777777">
        <w:trPr>
          <w:trHeight w:hRule="exact" w:val="468"/>
        </w:trPr>
        <w:tc>
          <w:tcPr>
            <w:tcW w:w="513" w:type="dxa"/>
            <w:vMerge/>
            <w:vAlign w:val="center"/>
          </w:tcPr>
          <w:p w14:paraId="36A265EA" w14:textId="77777777" w:rsidR="00000000" w:rsidRDefault="00000000">
            <w:pPr>
              <w:widowControl/>
              <w:jc w:val="center"/>
              <w:rPr>
                <w:rFonts w:ascii="宋体" w:hAnsi="宋体" w:cs="宋体" w:hint="eastAsia"/>
                <w:kern w:val="0"/>
                <w:sz w:val="18"/>
                <w:szCs w:val="18"/>
              </w:rPr>
            </w:pPr>
          </w:p>
        </w:tc>
        <w:tc>
          <w:tcPr>
            <w:tcW w:w="2249" w:type="dxa"/>
            <w:vAlign w:val="center"/>
          </w:tcPr>
          <w:p w14:paraId="0F2C9EF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创业教育</w:t>
            </w:r>
          </w:p>
        </w:tc>
        <w:tc>
          <w:tcPr>
            <w:tcW w:w="710" w:type="dxa"/>
            <w:vAlign w:val="center"/>
          </w:tcPr>
          <w:p w14:paraId="3DDC6013" w14:textId="77777777" w:rsidR="00000000" w:rsidRDefault="00000000">
            <w:pPr>
              <w:widowControl/>
              <w:jc w:val="center"/>
              <w:rPr>
                <w:rFonts w:ascii="宋体" w:hAnsi="宋体" w:cs="宋体" w:hint="eastAsia"/>
                <w:kern w:val="0"/>
                <w:sz w:val="18"/>
                <w:szCs w:val="18"/>
              </w:rPr>
            </w:pPr>
          </w:p>
        </w:tc>
        <w:tc>
          <w:tcPr>
            <w:tcW w:w="671" w:type="dxa"/>
            <w:vAlign w:val="center"/>
          </w:tcPr>
          <w:p w14:paraId="4A5E7EA9" w14:textId="77777777" w:rsidR="00000000" w:rsidRDefault="00000000">
            <w:pPr>
              <w:widowControl/>
              <w:jc w:val="center"/>
              <w:rPr>
                <w:rFonts w:ascii="宋体" w:hAnsi="宋体" w:cs="宋体" w:hint="eastAsia"/>
                <w:kern w:val="0"/>
                <w:sz w:val="18"/>
                <w:szCs w:val="18"/>
              </w:rPr>
            </w:pPr>
          </w:p>
        </w:tc>
        <w:tc>
          <w:tcPr>
            <w:tcW w:w="592" w:type="dxa"/>
            <w:vAlign w:val="center"/>
          </w:tcPr>
          <w:p w14:paraId="262DF75B" w14:textId="77777777" w:rsidR="00000000" w:rsidRDefault="00000000">
            <w:pPr>
              <w:widowControl/>
              <w:jc w:val="center"/>
              <w:rPr>
                <w:rFonts w:ascii="宋体" w:hAnsi="宋体" w:cs="宋体" w:hint="eastAsia"/>
                <w:kern w:val="0"/>
                <w:sz w:val="18"/>
                <w:szCs w:val="18"/>
              </w:rPr>
            </w:pPr>
          </w:p>
        </w:tc>
        <w:tc>
          <w:tcPr>
            <w:tcW w:w="665" w:type="dxa"/>
            <w:vAlign w:val="center"/>
          </w:tcPr>
          <w:p w14:paraId="4C772F5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716" w:type="dxa"/>
            <w:vAlign w:val="center"/>
          </w:tcPr>
          <w:p w14:paraId="136092F9" w14:textId="77777777" w:rsidR="00000000" w:rsidRDefault="00000000">
            <w:pPr>
              <w:widowControl/>
              <w:jc w:val="center"/>
              <w:rPr>
                <w:rFonts w:ascii="宋体" w:hAnsi="宋体" w:cs="宋体" w:hint="eastAsia"/>
                <w:kern w:val="0"/>
                <w:sz w:val="18"/>
                <w:szCs w:val="18"/>
              </w:rPr>
            </w:pPr>
          </w:p>
        </w:tc>
        <w:tc>
          <w:tcPr>
            <w:tcW w:w="789" w:type="dxa"/>
            <w:vAlign w:val="center"/>
          </w:tcPr>
          <w:p w14:paraId="7AF316EC" w14:textId="77777777" w:rsidR="00000000" w:rsidRDefault="00000000">
            <w:pPr>
              <w:widowControl/>
              <w:jc w:val="center"/>
              <w:rPr>
                <w:rFonts w:ascii="宋体" w:hAnsi="宋体" w:cs="宋体" w:hint="eastAsia"/>
                <w:kern w:val="0"/>
                <w:sz w:val="18"/>
                <w:szCs w:val="18"/>
              </w:rPr>
            </w:pPr>
          </w:p>
        </w:tc>
        <w:tc>
          <w:tcPr>
            <w:tcW w:w="1578" w:type="dxa"/>
            <w:vAlign w:val="center"/>
          </w:tcPr>
          <w:p w14:paraId="5AC34BF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自选</w:t>
            </w:r>
          </w:p>
        </w:tc>
      </w:tr>
      <w:tr w:rsidR="00000000" w14:paraId="704A7090" w14:textId="77777777">
        <w:trPr>
          <w:trHeight w:hRule="exact" w:val="474"/>
        </w:trPr>
        <w:tc>
          <w:tcPr>
            <w:tcW w:w="513" w:type="dxa"/>
            <w:vMerge w:val="restart"/>
            <w:vAlign w:val="center"/>
          </w:tcPr>
          <w:p w14:paraId="5B97915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公共基础课程</w:t>
            </w:r>
          </w:p>
        </w:tc>
        <w:tc>
          <w:tcPr>
            <w:tcW w:w="2249" w:type="dxa"/>
            <w:vAlign w:val="center"/>
          </w:tcPr>
          <w:p w14:paraId="60AF9FE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语  文</w:t>
            </w:r>
          </w:p>
        </w:tc>
        <w:tc>
          <w:tcPr>
            <w:tcW w:w="710" w:type="dxa"/>
            <w:vAlign w:val="center"/>
          </w:tcPr>
          <w:p w14:paraId="4C955C7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190855D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6FD2A79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7F7467C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2FBE3D59" w14:textId="77777777" w:rsidR="00000000" w:rsidRDefault="00000000">
            <w:pPr>
              <w:widowControl/>
              <w:jc w:val="center"/>
              <w:rPr>
                <w:rFonts w:ascii="宋体" w:hAnsi="宋体" w:cs="宋体" w:hint="eastAsia"/>
                <w:kern w:val="0"/>
                <w:sz w:val="18"/>
                <w:szCs w:val="18"/>
              </w:rPr>
            </w:pPr>
          </w:p>
        </w:tc>
        <w:tc>
          <w:tcPr>
            <w:tcW w:w="789" w:type="dxa"/>
            <w:vAlign w:val="center"/>
          </w:tcPr>
          <w:p w14:paraId="30444325" w14:textId="77777777" w:rsidR="00000000" w:rsidRDefault="00000000">
            <w:pPr>
              <w:widowControl/>
              <w:jc w:val="center"/>
              <w:rPr>
                <w:rFonts w:ascii="宋体" w:hAnsi="宋体" w:cs="宋体" w:hint="eastAsia"/>
                <w:kern w:val="0"/>
                <w:sz w:val="18"/>
                <w:szCs w:val="18"/>
              </w:rPr>
            </w:pPr>
          </w:p>
        </w:tc>
        <w:tc>
          <w:tcPr>
            <w:tcW w:w="1578" w:type="dxa"/>
            <w:vAlign w:val="center"/>
          </w:tcPr>
          <w:p w14:paraId="45D0A4A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A128B56" w14:textId="77777777">
        <w:trPr>
          <w:trHeight w:hRule="exact" w:val="465"/>
        </w:trPr>
        <w:tc>
          <w:tcPr>
            <w:tcW w:w="513" w:type="dxa"/>
            <w:vMerge/>
            <w:vAlign w:val="center"/>
          </w:tcPr>
          <w:p w14:paraId="72CD3DD8" w14:textId="77777777" w:rsidR="00000000" w:rsidRDefault="00000000">
            <w:pPr>
              <w:widowControl/>
              <w:jc w:val="center"/>
              <w:rPr>
                <w:rFonts w:ascii="宋体" w:hAnsi="宋体" w:cs="宋体" w:hint="eastAsia"/>
                <w:kern w:val="0"/>
                <w:sz w:val="18"/>
                <w:szCs w:val="18"/>
              </w:rPr>
            </w:pPr>
          </w:p>
        </w:tc>
        <w:tc>
          <w:tcPr>
            <w:tcW w:w="2249" w:type="dxa"/>
            <w:vAlign w:val="center"/>
          </w:tcPr>
          <w:p w14:paraId="46CA794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数  学</w:t>
            </w:r>
          </w:p>
        </w:tc>
        <w:tc>
          <w:tcPr>
            <w:tcW w:w="710" w:type="dxa"/>
            <w:vAlign w:val="center"/>
          </w:tcPr>
          <w:p w14:paraId="609BBC0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518A83C9"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49EE84E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65" w:type="dxa"/>
            <w:vAlign w:val="center"/>
          </w:tcPr>
          <w:p w14:paraId="5E6E0F79" w14:textId="77777777" w:rsidR="00000000" w:rsidRDefault="00000000">
            <w:pPr>
              <w:widowControl/>
              <w:jc w:val="center"/>
              <w:rPr>
                <w:rFonts w:ascii="宋体" w:hAnsi="宋体" w:cs="宋体" w:hint="eastAsia"/>
                <w:kern w:val="0"/>
                <w:sz w:val="18"/>
                <w:szCs w:val="18"/>
              </w:rPr>
            </w:pPr>
          </w:p>
        </w:tc>
        <w:tc>
          <w:tcPr>
            <w:tcW w:w="716" w:type="dxa"/>
            <w:vAlign w:val="center"/>
          </w:tcPr>
          <w:p w14:paraId="3F548892" w14:textId="77777777" w:rsidR="00000000" w:rsidRDefault="00000000">
            <w:pPr>
              <w:widowControl/>
              <w:jc w:val="center"/>
              <w:rPr>
                <w:rFonts w:ascii="宋体" w:hAnsi="宋体" w:cs="宋体" w:hint="eastAsia"/>
                <w:kern w:val="0"/>
                <w:sz w:val="18"/>
                <w:szCs w:val="18"/>
              </w:rPr>
            </w:pPr>
          </w:p>
        </w:tc>
        <w:tc>
          <w:tcPr>
            <w:tcW w:w="789" w:type="dxa"/>
            <w:vAlign w:val="center"/>
          </w:tcPr>
          <w:p w14:paraId="29082D4B" w14:textId="77777777" w:rsidR="00000000" w:rsidRDefault="00000000">
            <w:pPr>
              <w:widowControl/>
              <w:jc w:val="center"/>
              <w:rPr>
                <w:rFonts w:ascii="宋体" w:hAnsi="宋体" w:cs="宋体" w:hint="eastAsia"/>
                <w:kern w:val="0"/>
                <w:sz w:val="18"/>
                <w:szCs w:val="18"/>
              </w:rPr>
            </w:pPr>
          </w:p>
        </w:tc>
        <w:tc>
          <w:tcPr>
            <w:tcW w:w="1578" w:type="dxa"/>
            <w:vAlign w:val="center"/>
          </w:tcPr>
          <w:p w14:paraId="39BE716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4CA20A5" w14:textId="77777777">
        <w:trPr>
          <w:trHeight w:hRule="exact" w:val="471"/>
        </w:trPr>
        <w:tc>
          <w:tcPr>
            <w:tcW w:w="513" w:type="dxa"/>
            <w:vMerge/>
            <w:vAlign w:val="center"/>
          </w:tcPr>
          <w:p w14:paraId="14783E2F" w14:textId="77777777" w:rsidR="00000000" w:rsidRDefault="00000000">
            <w:pPr>
              <w:widowControl/>
              <w:jc w:val="center"/>
              <w:rPr>
                <w:rFonts w:ascii="宋体" w:hAnsi="宋体" w:cs="宋体" w:hint="eastAsia"/>
                <w:kern w:val="0"/>
                <w:sz w:val="18"/>
                <w:szCs w:val="18"/>
              </w:rPr>
            </w:pPr>
          </w:p>
        </w:tc>
        <w:tc>
          <w:tcPr>
            <w:tcW w:w="2249" w:type="dxa"/>
            <w:vAlign w:val="center"/>
          </w:tcPr>
          <w:p w14:paraId="63F63FA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英  语</w:t>
            </w:r>
          </w:p>
        </w:tc>
        <w:tc>
          <w:tcPr>
            <w:tcW w:w="710" w:type="dxa"/>
            <w:vAlign w:val="center"/>
          </w:tcPr>
          <w:p w14:paraId="78F5CF4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71" w:type="dxa"/>
            <w:vAlign w:val="center"/>
          </w:tcPr>
          <w:p w14:paraId="091E95B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92" w:type="dxa"/>
            <w:vAlign w:val="center"/>
          </w:tcPr>
          <w:p w14:paraId="75615D2C" w14:textId="77777777" w:rsidR="00000000" w:rsidRDefault="00000000">
            <w:pPr>
              <w:widowControl/>
              <w:jc w:val="center"/>
              <w:rPr>
                <w:rFonts w:ascii="宋体" w:hAnsi="宋体" w:cs="宋体" w:hint="eastAsia"/>
                <w:kern w:val="0"/>
                <w:sz w:val="18"/>
                <w:szCs w:val="18"/>
              </w:rPr>
            </w:pPr>
          </w:p>
        </w:tc>
        <w:tc>
          <w:tcPr>
            <w:tcW w:w="665" w:type="dxa"/>
            <w:vAlign w:val="center"/>
          </w:tcPr>
          <w:p w14:paraId="334051D4" w14:textId="77777777" w:rsidR="00000000" w:rsidRDefault="00000000">
            <w:pPr>
              <w:widowControl/>
              <w:jc w:val="center"/>
              <w:rPr>
                <w:rFonts w:ascii="宋体" w:hAnsi="宋体" w:cs="宋体" w:hint="eastAsia"/>
                <w:kern w:val="0"/>
                <w:sz w:val="18"/>
                <w:szCs w:val="18"/>
              </w:rPr>
            </w:pPr>
          </w:p>
        </w:tc>
        <w:tc>
          <w:tcPr>
            <w:tcW w:w="716" w:type="dxa"/>
            <w:vAlign w:val="center"/>
          </w:tcPr>
          <w:p w14:paraId="458FFAC5" w14:textId="77777777" w:rsidR="00000000" w:rsidRDefault="00000000">
            <w:pPr>
              <w:widowControl/>
              <w:jc w:val="center"/>
              <w:rPr>
                <w:rFonts w:ascii="宋体" w:hAnsi="宋体" w:cs="宋体" w:hint="eastAsia"/>
                <w:kern w:val="0"/>
                <w:sz w:val="18"/>
                <w:szCs w:val="18"/>
              </w:rPr>
            </w:pPr>
          </w:p>
        </w:tc>
        <w:tc>
          <w:tcPr>
            <w:tcW w:w="789" w:type="dxa"/>
            <w:vAlign w:val="center"/>
          </w:tcPr>
          <w:p w14:paraId="3F943FB8" w14:textId="77777777" w:rsidR="00000000" w:rsidRDefault="00000000">
            <w:pPr>
              <w:widowControl/>
              <w:jc w:val="center"/>
              <w:rPr>
                <w:rFonts w:ascii="宋体" w:hAnsi="宋体" w:cs="宋体" w:hint="eastAsia"/>
                <w:kern w:val="0"/>
                <w:sz w:val="18"/>
                <w:szCs w:val="18"/>
              </w:rPr>
            </w:pPr>
          </w:p>
        </w:tc>
        <w:tc>
          <w:tcPr>
            <w:tcW w:w="1578" w:type="dxa"/>
            <w:vAlign w:val="center"/>
          </w:tcPr>
          <w:p w14:paraId="355D3BC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715B663F" w14:textId="77777777">
        <w:trPr>
          <w:trHeight w:hRule="exact" w:val="634"/>
        </w:trPr>
        <w:tc>
          <w:tcPr>
            <w:tcW w:w="513" w:type="dxa"/>
            <w:vMerge/>
            <w:vAlign w:val="center"/>
          </w:tcPr>
          <w:p w14:paraId="6953495C" w14:textId="77777777" w:rsidR="00000000" w:rsidRDefault="00000000">
            <w:pPr>
              <w:widowControl/>
              <w:jc w:val="center"/>
              <w:rPr>
                <w:rFonts w:ascii="宋体" w:hAnsi="宋体" w:cs="宋体" w:hint="eastAsia"/>
                <w:kern w:val="0"/>
                <w:sz w:val="18"/>
                <w:szCs w:val="18"/>
              </w:rPr>
            </w:pPr>
          </w:p>
        </w:tc>
        <w:tc>
          <w:tcPr>
            <w:tcW w:w="2249" w:type="dxa"/>
            <w:vAlign w:val="center"/>
          </w:tcPr>
          <w:p w14:paraId="3B322C1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信息技术基础</w:t>
            </w:r>
          </w:p>
        </w:tc>
        <w:tc>
          <w:tcPr>
            <w:tcW w:w="710" w:type="dxa"/>
            <w:vAlign w:val="center"/>
          </w:tcPr>
          <w:p w14:paraId="0ED1FD6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28F3B8E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592" w:type="dxa"/>
            <w:vAlign w:val="center"/>
          </w:tcPr>
          <w:p w14:paraId="29095740" w14:textId="77777777" w:rsidR="00000000" w:rsidRDefault="00000000">
            <w:pPr>
              <w:widowControl/>
              <w:jc w:val="center"/>
              <w:rPr>
                <w:rFonts w:ascii="宋体" w:hAnsi="宋体" w:cs="宋体" w:hint="eastAsia"/>
                <w:kern w:val="0"/>
                <w:sz w:val="18"/>
                <w:szCs w:val="18"/>
              </w:rPr>
            </w:pPr>
          </w:p>
        </w:tc>
        <w:tc>
          <w:tcPr>
            <w:tcW w:w="665" w:type="dxa"/>
            <w:vAlign w:val="center"/>
          </w:tcPr>
          <w:p w14:paraId="66650A37" w14:textId="77777777" w:rsidR="00000000" w:rsidRDefault="00000000">
            <w:pPr>
              <w:widowControl/>
              <w:jc w:val="center"/>
              <w:rPr>
                <w:rFonts w:ascii="宋体" w:hAnsi="宋体" w:cs="宋体" w:hint="eastAsia"/>
                <w:kern w:val="0"/>
                <w:sz w:val="18"/>
                <w:szCs w:val="18"/>
              </w:rPr>
            </w:pPr>
          </w:p>
        </w:tc>
        <w:tc>
          <w:tcPr>
            <w:tcW w:w="716" w:type="dxa"/>
            <w:vAlign w:val="center"/>
          </w:tcPr>
          <w:p w14:paraId="4D45C343" w14:textId="77777777" w:rsidR="00000000" w:rsidRDefault="00000000">
            <w:pPr>
              <w:widowControl/>
              <w:jc w:val="center"/>
              <w:rPr>
                <w:rFonts w:ascii="宋体" w:hAnsi="宋体" w:cs="宋体" w:hint="eastAsia"/>
                <w:kern w:val="0"/>
                <w:sz w:val="18"/>
                <w:szCs w:val="18"/>
              </w:rPr>
            </w:pPr>
          </w:p>
        </w:tc>
        <w:tc>
          <w:tcPr>
            <w:tcW w:w="789" w:type="dxa"/>
            <w:vAlign w:val="center"/>
          </w:tcPr>
          <w:p w14:paraId="0860AEAB" w14:textId="77777777" w:rsidR="00000000" w:rsidRDefault="00000000">
            <w:pPr>
              <w:widowControl/>
              <w:jc w:val="center"/>
              <w:rPr>
                <w:rFonts w:ascii="宋体" w:hAnsi="宋体" w:cs="宋体" w:hint="eastAsia"/>
                <w:kern w:val="0"/>
                <w:sz w:val="18"/>
                <w:szCs w:val="18"/>
              </w:rPr>
            </w:pPr>
          </w:p>
        </w:tc>
        <w:tc>
          <w:tcPr>
            <w:tcW w:w="1578" w:type="dxa"/>
            <w:vAlign w:val="center"/>
          </w:tcPr>
          <w:p w14:paraId="00199AF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055E7814" w14:textId="77777777">
        <w:trPr>
          <w:trHeight w:hRule="exact" w:val="628"/>
        </w:trPr>
        <w:tc>
          <w:tcPr>
            <w:tcW w:w="513" w:type="dxa"/>
            <w:vMerge/>
            <w:vAlign w:val="center"/>
          </w:tcPr>
          <w:p w14:paraId="5A6E81A3" w14:textId="77777777" w:rsidR="00000000" w:rsidRDefault="00000000">
            <w:pPr>
              <w:widowControl/>
              <w:jc w:val="center"/>
              <w:rPr>
                <w:rFonts w:ascii="宋体" w:hAnsi="宋体" w:cs="宋体" w:hint="eastAsia"/>
                <w:kern w:val="0"/>
                <w:sz w:val="18"/>
                <w:szCs w:val="18"/>
              </w:rPr>
            </w:pPr>
          </w:p>
        </w:tc>
        <w:tc>
          <w:tcPr>
            <w:tcW w:w="2249" w:type="dxa"/>
            <w:vAlign w:val="center"/>
          </w:tcPr>
          <w:p w14:paraId="5C70305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体育与健康</w:t>
            </w:r>
          </w:p>
        </w:tc>
        <w:tc>
          <w:tcPr>
            <w:tcW w:w="710" w:type="dxa"/>
            <w:vAlign w:val="center"/>
          </w:tcPr>
          <w:p w14:paraId="56FB698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71" w:type="dxa"/>
            <w:vAlign w:val="center"/>
          </w:tcPr>
          <w:p w14:paraId="060D07F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592" w:type="dxa"/>
            <w:vAlign w:val="center"/>
          </w:tcPr>
          <w:p w14:paraId="3CF6412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665" w:type="dxa"/>
            <w:vAlign w:val="center"/>
          </w:tcPr>
          <w:p w14:paraId="4E2D58A4"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16" w:type="dxa"/>
            <w:vAlign w:val="center"/>
          </w:tcPr>
          <w:p w14:paraId="3CAE7A9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789" w:type="dxa"/>
            <w:vAlign w:val="center"/>
          </w:tcPr>
          <w:p w14:paraId="0CA306F2"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2</w:t>
            </w:r>
          </w:p>
        </w:tc>
        <w:tc>
          <w:tcPr>
            <w:tcW w:w="1578" w:type="dxa"/>
            <w:vAlign w:val="center"/>
          </w:tcPr>
          <w:p w14:paraId="654E3BF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6B8EE1F6" w14:textId="77777777">
        <w:trPr>
          <w:trHeight w:val="81"/>
        </w:trPr>
        <w:tc>
          <w:tcPr>
            <w:tcW w:w="513" w:type="dxa"/>
            <w:vMerge w:val="restart"/>
            <w:vAlign w:val="center"/>
          </w:tcPr>
          <w:p w14:paraId="14313D7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专业</w:t>
            </w:r>
          </w:p>
          <w:p w14:paraId="4010639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核心</w:t>
            </w:r>
          </w:p>
          <w:p w14:paraId="4FC94B6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课程</w:t>
            </w:r>
          </w:p>
        </w:tc>
        <w:tc>
          <w:tcPr>
            <w:tcW w:w="2249" w:type="dxa"/>
            <w:vAlign w:val="center"/>
          </w:tcPr>
          <w:p w14:paraId="785EAD6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人体解剖学</w:t>
            </w:r>
          </w:p>
        </w:tc>
        <w:tc>
          <w:tcPr>
            <w:tcW w:w="710" w:type="dxa"/>
            <w:vAlign w:val="center"/>
          </w:tcPr>
          <w:p w14:paraId="632FDD8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671" w:type="dxa"/>
            <w:vAlign w:val="center"/>
          </w:tcPr>
          <w:p w14:paraId="3E516C9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592" w:type="dxa"/>
            <w:vAlign w:val="center"/>
          </w:tcPr>
          <w:p w14:paraId="54C09934" w14:textId="77777777" w:rsidR="00000000" w:rsidRDefault="00000000">
            <w:pPr>
              <w:widowControl/>
              <w:jc w:val="center"/>
              <w:rPr>
                <w:rFonts w:ascii="宋体" w:hAnsi="宋体" w:cs="宋体" w:hint="eastAsia"/>
                <w:kern w:val="0"/>
                <w:sz w:val="18"/>
                <w:szCs w:val="18"/>
              </w:rPr>
            </w:pPr>
          </w:p>
        </w:tc>
        <w:tc>
          <w:tcPr>
            <w:tcW w:w="665" w:type="dxa"/>
            <w:vAlign w:val="center"/>
          </w:tcPr>
          <w:p w14:paraId="7BC23561" w14:textId="77777777" w:rsidR="00000000" w:rsidRDefault="00000000">
            <w:pPr>
              <w:widowControl/>
              <w:jc w:val="center"/>
              <w:rPr>
                <w:rFonts w:ascii="宋体" w:hAnsi="宋体" w:cs="宋体" w:hint="eastAsia"/>
                <w:kern w:val="0"/>
                <w:sz w:val="18"/>
                <w:szCs w:val="18"/>
              </w:rPr>
            </w:pPr>
          </w:p>
        </w:tc>
        <w:tc>
          <w:tcPr>
            <w:tcW w:w="716" w:type="dxa"/>
            <w:vAlign w:val="center"/>
          </w:tcPr>
          <w:p w14:paraId="6486D41B" w14:textId="77777777" w:rsidR="00000000" w:rsidRDefault="00000000">
            <w:pPr>
              <w:widowControl/>
              <w:jc w:val="center"/>
              <w:rPr>
                <w:rFonts w:ascii="宋体" w:hAnsi="宋体" w:cs="宋体" w:hint="eastAsia"/>
                <w:kern w:val="0"/>
                <w:sz w:val="18"/>
                <w:szCs w:val="18"/>
              </w:rPr>
            </w:pPr>
          </w:p>
        </w:tc>
        <w:tc>
          <w:tcPr>
            <w:tcW w:w="789" w:type="dxa"/>
            <w:vAlign w:val="center"/>
          </w:tcPr>
          <w:p w14:paraId="2383F20B" w14:textId="77777777" w:rsidR="00000000" w:rsidRDefault="00000000">
            <w:pPr>
              <w:widowControl/>
              <w:jc w:val="center"/>
              <w:rPr>
                <w:rFonts w:ascii="宋体" w:hAnsi="宋体" w:cs="宋体" w:hint="eastAsia"/>
                <w:kern w:val="0"/>
                <w:sz w:val="18"/>
                <w:szCs w:val="18"/>
              </w:rPr>
            </w:pPr>
          </w:p>
        </w:tc>
        <w:tc>
          <w:tcPr>
            <w:tcW w:w="1578" w:type="dxa"/>
            <w:vAlign w:val="center"/>
          </w:tcPr>
          <w:p w14:paraId="17E9487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1E1B0719" w14:textId="77777777">
        <w:trPr>
          <w:trHeight w:val="79"/>
        </w:trPr>
        <w:tc>
          <w:tcPr>
            <w:tcW w:w="513" w:type="dxa"/>
            <w:vMerge/>
            <w:vAlign w:val="center"/>
          </w:tcPr>
          <w:p w14:paraId="637F928D" w14:textId="77777777" w:rsidR="00000000" w:rsidRDefault="00000000">
            <w:pPr>
              <w:widowControl/>
              <w:jc w:val="center"/>
              <w:rPr>
                <w:rFonts w:ascii="宋体" w:hAnsi="宋体" w:cs="宋体" w:hint="eastAsia"/>
                <w:kern w:val="0"/>
                <w:sz w:val="18"/>
                <w:szCs w:val="18"/>
              </w:rPr>
            </w:pPr>
          </w:p>
        </w:tc>
        <w:tc>
          <w:tcPr>
            <w:tcW w:w="2249" w:type="dxa"/>
            <w:vAlign w:val="center"/>
          </w:tcPr>
          <w:p w14:paraId="3026128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老年护理</w:t>
            </w:r>
          </w:p>
        </w:tc>
        <w:tc>
          <w:tcPr>
            <w:tcW w:w="710" w:type="dxa"/>
            <w:vAlign w:val="center"/>
          </w:tcPr>
          <w:p w14:paraId="3FA2713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3+1</w:t>
            </w:r>
          </w:p>
        </w:tc>
        <w:tc>
          <w:tcPr>
            <w:tcW w:w="671" w:type="dxa"/>
            <w:vAlign w:val="center"/>
          </w:tcPr>
          <w:p w14:paraId="55DDCAC1" w14:textId="77777777" w:rsidR="00000000" w:rsidRDefault="00000000">
            <w:pPr>
              <w:widowControl/>
              <w:jc w:val="center"/>
              <w:rPr>
                <w:rFonts w:ascii="宋体" w:hAnsi="宋体" w:cs="宋体" w:hint="eastAsia"/>
                <w:kern w:val="0"/>
                <w:sz w:val="18"/>
                <w:szCs w:val="18"/>
              </w:rPr>
            </w:pPr>
          </w:p>
        </w:tc>
        <w:tc>
          <w:tcPr>
            <w:tcW w:w="592" w:type="dxa"/>
            <w:vAlign w:val="center"/>
          </w:tcPr>
          <w:p w14:paraId="38B83969" w14:textId="77777777" w:rsidR="00000000" w:rsidRDefault="00000000">
            <w:pPr>
              <w:widowControl/>
              <w:jc w:val="center"/>
              <w:rPr>
                <w:rFonts w:ascii="宋体" w:hAnsi="宋体" w:cs="宋体" w:hint="eastAsia"/>
                <w:kern w:val="0"/>
                <w:sz w:val="18"/>
                <w:szCs w:val="18"/>
              </w:rPr>
            </w:pPr>
          </w:p>
        </w:tc>
        <w:tc>
          <w:tcPr>
            <w:tcW w:w="665" w:type="dxa"/>
            <w:vAlign w:val="center"/>
          </w:tcPr>
          <w:p w14:paraId="0E7F4F2F" w14:textId="77777777" w:rsidR="00000000" w:rsidRDefault="00000000">
            <w:pPr>
              <w:widowControl/>
              <w:jc w:val="center"/>
              <w:rPr>
                <w:rFonts w:ascii="宋体" w:hAnsi="宋体" w:cs="宋体" w:hint="eastAsia"/>
                <w:kern w:val="0"/>
                <w:sz w:val="18"/>
                <w:szCs w:val="18"/>
              </w:rPr>
            </w:pPr>
          </w:p>
        </w:tc>
        <w:tc>
          <w:tcPr>
            <w:tcW w:w="716" w:type="dxa"/>
            <w:vAlign w:val="center"/>
          </w:tcPr>
          <w:p w14:paraId="450D6FFA" w14:textId="77777777" w:rsidR="00000000" w:rsidRDefault="00000000">
            <w:pPr>
              <w:widowControl/>
              <w:jc w:val="center"/>
              <w:rPr>
                <w:rFonts w:ascii="宋体" w:hAnsi="宋体" w:cs="宋体" w:hint="eastAsia"/>
                <w:kern w:val="0"/>
                <w:sz w:val="18"/>
                <w:szCs w:val="18"/>
              </w:rPr>
            </w:pPr>
          </w:p>
        </w:tc>
        <w:tc>
          <w:tcPr>
            <w:tcW w:w="789" w:type="dxa"/>
            <w:vAlign w:val="center"/>
          </w:tcPr>
          <w:p w14:paraId="2F8DA29D" w14:textId="77777777" w:rsidR="00000000" w:rsidRDefault="00000000">
            <w:pPr>
              <w:widowControl/>
              <w:jc w:val="center"/>
              <w:rPr>
                <w:rFonts w:ascii="宋体" w:hAnsi="宋体" w:cs="宋体" w:hint="eastAsia"/>
                <w:kern w:val="0"/>
                <w:sz w:val="18"/>
                <w:szCs w:val="18"/>
              </w:rPr>
            </w:pPr>
          </w:p>
        </w:tc>
        <w:tc>
          <w:tcPr>
            <w:tcW w:w="1578" w:type="dxa"/>
            <w:vAlign w:val="center"/>
          </w:tcPr>
          <w:p w14:paraId="67A41DE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3B827D1" w14:textId="77777777">
        <w:trPr>
          <w:trHeight w:val="79"/>
        </w:trPr>
        <w:tc>
          <w:tcPr>
            <w:tcW w:w="513" w:type="dxa"/>
            <w:vMerge/>
            <w:vAlign w:val="center"/>
          </w:tcPr>
          <w:p w14:paraId="0DEC1311" w14:textId="77777777" w:rsidR="00000000" w:rsidRDefault="00000000">
            <w:pPr>
              <w:widowControl/>
              <w:jc w:val="center"/>
              <w:rPr>
                <w:rFonts w:ascii="宋体" w:hAnsi="宋体" w:cs="宋体" w:hint="eastAsia"/>
                <w:kern w:val="0"/>
                <w:sz w:val="18"/>
                <w:szCs w:val="18"/>
              </w:rPr>
            </w:pPr>
          </w:p>
        </w:tc>
        <w:tc>
          <w:tcPr>
            <w:tcW w:w="2249" w:type="dxa"/>
            <w:vAlign w:val="center"/>
          </w:tcPr>
          <w:p w14:paraId="34A4238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老年社会工作</w:t>
            </w:r>
          </w:p>
        </w:tc>
        <w:tc>
          <w:tcPr>
            <w:tcW w:w="710" w:type="dxa"/>
            <w:vAlign w:val="center"/>
          </w:tcPr>
          <w:p w14:paraId="17F2EBC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3</w:t>
            </w:r>
          </w:p>
        </w:tc>
        <w:tc>
          <w:tcPr>
            <w:tcW w:w="671" w:type="dxa"/>
            <w:vAlign w:val="center"/>
          </w:tcPr>
          <w:p w14:paraId="5D4BD196"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1</w:t>
            </w:r>
          </w:p>
        </w:tc>
        <w:tc>
          <w:tcPr>
            <w:tcW w:w="592" w:type="dxa"/>
            <w:vAlign w:val="center"/>
          </w:tcPr>
          <w:p w14:paraId="40B44C59" w14:textId="77777777" w:rsidR="00000000" w:rsidRDefault="00000000">
            <w:pPr>
              <w:widowControl/>
              <w:jc w:val="center"/>
              <w:rPr>
                <w:rFonts w:ascii="宋体" w:hAnsi="宋体" w:cs="宋体" w:hint="eastAsia"/>
                <w:kern w:val="0"/>
                <w:sz w:val="18"/>
                <w:szCs w:val="18"/>
              </w:rPr>
            </w:pPr>
          </w:p>
        </w:tc>
        <w:tc>
          <w:tcPr>
            <w:tcW w:w="665" w:type="dxa"/>
            <w:vAlign w:val="center"/>
          </w:tcPr>
          <w:p w14:paraId="5FE1B88A" w14:textId="77777777" w:rsidR="00000000" w:rsidRDefault="00000000">
            <w:pPr>
              <w:widowControl/>
              <w:jc w:val="center"/>
              <w:rPr>
                <w:rFonts w:ascii="宋体" w:hAnsi="宋体" w:cs="宋体" w:hint="eastAsia"/>
                <w:kern w:val="0"/>
                <w:sz w:val="18"/>
                <w:szCs w:val="18"/>
              </w:rPr>
            </w:pPr>
          </w:p>
        </w:tc>
        <w:tc>
          <w:tcPr>
            <w:tcW w:w="716" w:type="dxa"/>
            <w:vAlign w:val="center"/>
          </w:tcPr>
          <w:p w14:paraId="71716789" w14:textId="77777777" w:rsidR="00000000" w:rsidRDefault="00000000">
            <w:pPr>
              <w:widowControl/>
              <w:jc w:val="center"/>
              <w:rPr>
                <w:rFonts w:ascii="宋体" w:hAnsi="宋体" w:cs="宋体" w:hint="eastAsia"/>
                <w:kern w:val="0"/>
                <w:sz w:val="18"/>
                <w:szCs w:val="18"/>
              </w:rPr>
            </w:pPr>
          </w:p>
        </w:tc>
        <w:tc>
          <w:tcPr>
            <w:tcW w:w="789" w:type="dxa"/>
            <w:vAlign w:val="center"/>
          </w:tcPr>
          <w:p w14:paraId="269DF812" w14:textId="77777777" w:rsidR="00000000" w:rsidRDefault="00000000">
            <w:pPr>
              <w:widowControl/>
              <w:jc w:val="center"/>
              <w:rPr>
                <w:rFonts w:ascii="宋体" w:hAnsi="宋体" w:cs="宋体" w:hint="eastAsia"/>
                <w:kern w:val="0"/>
                <w:sz w:val="18"/>
                <w:szCs w:val="18"/>
              </w:rPr>
            </w:pPr>
          </w:p>
        </w:tc>
        <w:tc>
          <w:tcPr>
            <w:tcW w:w="1578" w:type="dxa"/>
            <w:vAlign w:val="center"/>
          </w:tcPr>
          <w:p w14:paraId="1542836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2EA9F4D9" w14:textId="77777777">
        <w:trPr>
          <w:trHeight w:val="79"/>
        </w:trPr>
        <w:tc>
          <w:tcPr>
            <w:tcW w:w="513" w:type="dxa"/>
            <w:vMerge/>
            <w:vAlign w:val="center"/>
          </w:tcPr>
          <w:p w14:paraId="3ADC3A25" w14:textId="77777777" w:rsidR="00000000" w:rsidRDefault="00000000">
            <w:pPr>
              <w:widowControl/>
              <w:jc w:val="center"/>
              <w:rPr>
                <w:rFonts w:ascii="宋体" w:hAnsi="宋体" w:cs="宋体" w:hint="eastAsia"/>
                <w:kern w:val="0"/>
                <w:sz w:val="18"/>
                <w:szCs w:val="18"/>
              </w:rPr>
            </w:pPr>
          </w:p>
        </w:tc>
        <w:tc>
          <w:tcPr>
            <w:tcW w:w="2249" w:type="dxa"/>
            <w:vAlign w:val="center"/>
          </w:tcPr>
          <w:p w14:paraId="2DAF6047"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医学基础</w:t>
            </w:r>
          </w:p>
        </w:tc>
        <w:tc>
          <w:tcPr>
            <w:tcW w:w="710" w:type="dxa"/>
            <w:vAlign w:val="center"/>
          </w:tcPr>
          <w:p w14:paraId="3C0D5E8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5+1</w:t>
            </w:r>
          </w:p>
        </w:tc>
        <w:tc>
          <w:tcPr>
            <w:tcW w:w="671" w:type="dxa"/>
            <w:vAlign w:val="center"/>
          </w:tcPr>
          <w:p w14:paraId="67F05FF8"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4+2</w:t>
            </w:r>
          </w:p>
        </w:tc>
        <w:tc>
          <w:tcPr>
            <w:tcW w:w="592" w:type="dxa"/>
            <w:vAlign w:val="center"/>
          </w:tcPr>
          <w:p w14:paraId="0B9EA1C3" w14:textId="77777777" w:rsidR="00000000" w:rsidRDefault="00000000">
            <w:pPr>
              <w:widowControl/>
              <w:jc w:val="center"/>
              <w:rPr>
                <w:rFonts w:ascii="宋体" w:hAnsi="宋体" w:cs="宋体" w:hint="eastAsia"/>
                <w:kern w:val="0"/>
                <w:sz w:val="18"/>
                <w:szCs w:val="18"/>
              </w:rPr>
            </w:pPr>
          </w:p>
        </w:tc>
        <w:tc>
          <w:tcPr>
            <w:tcW w:w="665" w:type="dxa"/>
            <w:vAlign w:val="center"/>
          </w:tcPr>
          <w:p w14:paraId="5FB06232" w14:textId="77777777" w:rsidR="00000000" w:rsidRDefault="00000000">
            <w:pPr>
              <w:widowControl/>
              <w:jc w:val="center"/>
              <w:rPr>
                <w:rFonts w:ascii="宋体" w:hAnsi="宋体" w:cs="宋体" w:hint="eastAsia"/>
                <w:kern w:val="0"/>
                <w:sz w:val="18"/>
                <w:szCs w:val="18"/>
              </w:rPr>
            </w:pPr>
          </w:p>
        </w:tc>
        <w:tc>
          <w:tcPr>
            <w:tcW w:w="716" w:type="dxa"/>
            <w:vAlign w:val="center"/>
          </w:tcPr>
          <w:p w14:paraId="0CB40663" w14:textId="77777777" w:rsidR="00000000" w:rsidRDefault="00000000">
            <w:pPr>
              <w:widowControl/>
              <w:jc w:val="center"/>
              <w:rPr>
                <w:rFonts w:ascii="宋体" w:hAnsi="宋体" w:cs="宋体" w:hint="eastAsia"/>
                <w:kern w:val="0"/>
                <w:sz w:val="18"/>
                <w:szCs w:val="18"/>
              </w:rPr>
            </w:pPr>
          </w:p>
        </w:tc>
        <w:tc>
          <w:tcPr>
            <w:tcW w:w="789" w:type="dxa"/>
            <w:vAlign w:val="center"/>
          </w:tcPr>
          <w:p w14:paraId="7165BEDB" w14:textId="77777777" w:rsidR="00000000" w:rsidRDefault="00000000">
            <w:pPr>
              <w:widowControl/>
              <w:jc w:val="center"/>
              <w:rPr>
                <w:rFonts w:ascii="宋体" w:hAnsi="宋体" w:cs="宋体" w:hint="eastAsia"/>
                <w:kern w:val="0"/>
                <w:sz w:val="18"/>
                <w:szCs w:val="18"/>
              </w:rPr>
            </w:pPr>
          </w:p>
        </w:tc>
        <w:tc>
          <w:tcPr>
            <w:tcW w:w="1578" w:type="dxa"/>
            <w:vAlign w:val="center"/>
          </w:tcPr>
          <w:p w14:paraId="6757CEE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3E0955E6" w14:textId="77777777">
        <w:trPr>
          <w:trHeight w:val="210"/>
        </w:trPr>
        <w:tc>
          <w:tcPr>
            <w:tcW w:w="513" w:type="dxa"/>
            <w:vMerge/>
            <w:vAlign w:val="center"/>
          </w:tcPr>
          <w:p w14:paraId="4922FCC0" w14:textId="77777777" w:rsidR="00000000" w:rsidRDefault="00000000">
            <w:pPr>
              <w:widowControl/>
              <w:jc w:val="center"/>
              <w:rPr>
                <w:rFonts w:ascii="宋体" w:hAnsi="宋体" w:cs="宋体" w:hint="eastAsia"/>
                <w:kern w:val="0"/>
                <w:sz w:val="18"/>
                <w:szCs w:val="18"/>
              </w:rPr>
            </w:pPr>
          </w:p>
        </w:tc>
        <w:tc>
          <w:tcPr>
            <w:tcW w:w="2249" w:type="dxa"/>
            <w:vAlign w:val="center"/>
          </w:tcPr>
          <w:p w14:paraId="5E473C5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医学免疫与微生物学</w:t>
            </w:r>
          </w:p>
        </w:tc>
        <w:tc>
          <w:tcPr>
            <w:tcW w:w="710" w:type="dxa"/>
            <w:vAlign w:val="center"/>
          </w:tcPr>
          <w:p w14:paraId="6DE3F48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71" w:type="dxa"/>
            <w:vAlign w:val="center"/>
          </w:tcPr>
          <w:p w14:paraId="5D29E8F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592" w:type="dxa"/>
            <w:vAlign w:val="center"/>
          </w:tcPr>
          <w:p w14:paraId="2BDA3B0C" w14:textId="77777777" w:rsidR="00000000" w:rsidRDefault="00000000">
            <w:pPr>
              <w:widowControl/>
              <w:jc w:val="center"/>
              <w:rPr>
                <w:rFonts w:ascii="宋体" w:hAnsi="宋体" w:cs="宋体" w:hint="eastAsia"/>
                <w:kern w:val="0"/>
                <w:sz w:val="18"/>
                <w:szCs w:val="18"/>
              </w:rPr>
            </w:pPr>
          </w:p>
        </w:tc>
        <w:tc>
          <w:tcPr>
            <w:tcW w:w="665" w:type="dxa"/>
            <w:vAlign w:val="center"/>
          </w:tcPr>
          <w:p w14:paraId="6E17F880" w14:textId="77777777" w:rsidR="00000000" w:rsidRDefault="00000000">
            <w:pPr>
              <w:widowControl/>
              <w:jc w:val="center"/>
              <w:rPr>
                <w:rFonts w:ascii="宋体" w:hAnsi="宋体" w:cs="宋体" w:hint="eastAsia"/>
                <w:kern w:val="0"/>
                <w:sz w:val="18"/>
                <w:szCs w:val="18"/>
              </w:rPr>
            </w:pPr>
          </w:p>
        </w:tc>
        <w:tc>
          <w:tcPr>
            <w:tcW w:w="716" w:type="dxa"/>
            <w:vAlign w:val="center"/>
          </w:tcPr>
          <w:p w14:paraId="28A528BC" w14:textId="77777777" w:rsidR="00000000" w:rsidRDefault="00000000">
            <w:pPr>
              <w:widowControl/>
              <w:jc w:val="center"/>
              <w:rPr>
                <w:rFonts w:ascii="宋体" w:hAnsi="宋体" w:cs="宋体" w:hint="eastAsia"/>
                <w:kern w:val="0"/>
                <w:sz w:val="18"/>
                <w:szCs w:val="18"/>
              </w:rPr>
            </w:pPr>
          </w:p>
        </w:tc>
        <w:tc>
          <w:tcPr>
            <w:tcW w:w="789" w:type="dxa"/>
            <w:vAlign w:val="center"/>
          </w:tcPr>
          <w:p w14:paraId="63186CDE" w14:textId="77777777" w:rsidR="00000000" w:rsidRDefault="00000000">
            <w:pPr>
              <w:widowControl/>
              <w:jc w:val="center"/>
              <w:rPr>
                <w:rFonts w:ascii="宋体" w:hAnsi="宋体" w:cs="宋体" w:hint="eastAsia"/>
                <w:kern w:val="0"/>
                <w:sz w:val="18"/>
                <w:szCs w:val="18"/>
              </w:rPr>
            </w:pPr>
          </w:p>
        </w:tc>
        <w:tc>
          <w:tcPr>
            <w:tcW w:w="1578" w:type="dxa"/>
            <w:vAlign w:val="center"/>
          </w:tcPr>
          <w:p w14:paraId="3B155FCF"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r w:rsidR="00000000" w14:paraId="44008BD0" w14:textId="77777777">
        <w:trPr>
          <w:trHeight w:val="200"/>
        </w:trPr>
        <w:tc>
          <w:tcPr>
            <w:tcW w:w="513" w:type="dxa"/>
            <w:vMerge/>
            <w:vAlign w:val="center"/>
          </w:tcPr>
          <w:p w14:paraId="07314042" w14:textId="77777777" w:rsidR="00000000" w:rsidRDefault="00000000">
            <w:pPr>
              <w:widowControl/>
              <w:jc w:val="center"/>
              <w:rPr>
                <w:rFonts w:ascii="宋体" w:hAnsi="宋体" w:cs="宋体" w:hint="eastAsia"/>
                <w:kern w:val="0"/>
                <w:sz w:val="18"/>
                <w:szCs w:val="18"/>
              </w:rPr>
            </w:pPr>
          </w:p>
        </w:tc>
        <w:tc>
          <w:tcPr>
            <w:tcW w:w="2249" w:type="dxa"/>
            <w:vAlign w:val="center"/>
          </w:tcPr>
          <w:p w14:paraId="077AE67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中医护理</w:t>
            </w:r>
          </w:p>
        </w:tc>
        <w:tc>
          <w:tcPr>
            <w:tcW w:w="710" w:type="dxa"/>
            <w:vAlign w:val="center"/>
          </w:tcPr>
          <w:p w14:paraId="10E734F3" w14:textId="77777777" w:rsidR="00000000" w:rsidRDefault="00000000">
            <w:pPr>
              <w:widowControl/>
              <w:jc w:val="center"/>
              <w:rPr>
                <w:rFonts w:ascii="宋体" w:hAnsi="宋体" w:cs="宋体" w:hint="eastAsia"/>
                <w:kern w:val="0"/>
                <w:sz w:val="18"/>
                <w:szCs w:val="18"/>
              </w:rPr>
            </w:pPr>
          </w:p>
        </w:tc>
        <w:tc>
          <w:tcPr>
            <w:tcW w:w="671" w:type="dxa"/>
            <w:vAlign w:val="center"/>
          </w:tcPr>
          <w:p w14:paraId="10E71516" w14:textId="77777777" w:rsidR="00000000" w:rsidRDefault="00000000">
            <w:pPr>
              <w:widowControl/>
              <w:jc w:val="center"/>
              <w:rPr>
                <w:rFonts w:ascii="宋体" w:hAnsi="宋体" w:cs="宋体" w:hint="eastAsia"/>
                <w:kern w:val="0"/>
                <w:sz w:val="18"/>
                <w:szCs w:val="18"/>
              </w:rPr>
            </w:pPr>
          </w:p>
        </w:tc>
        <w:tc>
          <w:tcPr>
            <w:tcW w:w="592" w:type="dxa"/>
            <w:vAlign w:val="center"/>
          </w:tcPr>
          <w:p w14:paraId="0C20B96C"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665" w:type="dxa"/>
            <w:vAlign w:val="center"/>
          </w:tcPr>
          <w:p w14:paraId="5E762233"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6</w:t>
            </w:r>
          </w:p>
        </w:tc>
        <w:tc>
          <w:tcPr>
            <w:tcW w:w="716" w:type="dxa"/>
            <w:vAlign w:val="center"/>
          </w:tcPr>
          <w:p w14:paraId="750AE0AE" w14:textId="77777777" w:rsidR="00000000" w:rsidRDefault="00000000">
            <w:pPr>
              <w:widowControl/>
              <w:jc w:val="center"/>
              <w:rPr>
                <w:rFonts w:ascii="宋体" w:hAnsi="宋体" w:cs="宋体" w:hint="eastAsia"/>
                <w:kern w:val="0"/>
                <w:sz w:val="18"/>
                <w:szCs w:val="18"/>
              </w:rPr>
            </w:pPr>
          </w:p>
        </w:tc>
        <w:tc>
          <w:tcPr>
            <w:tcW w:w="789" w:type="dxa"/>
            <w:vAlign w:val="center"/>
          </w:tcPr>
          <w:p w14:paraId="3D5A7177" w14:textId="77777777" w:rsidR="00000000" w:rsidRDefault="00000000">
            <w:pPr>
              <w:widowControl/>
              <w:jc w:val="center"/>
              <w:rPr>
                <w:rFonts w:ascii="宋体" w:hAnsi="宋体" w:cs="宋体" w:hint="eastAsia"/>
                <w:kern w:val="0"/>
                <w:sz w:val="18"/>
                <w:szCs w:val="18"/>
              </w:rPr>
            </w:pPr>
          </w:p>
        </w:tc>
        <w:tc>
          <w:tcPr>
            <w:tcW w:w="1578" w:type="dxa"/>
            <w:vAlign w:val="center"/>
          </w:tcPr>
          <w:p w14:paraId="51BFBE9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55684BD" w14:textId="77777777">
        <w:trPr>
          <w:trHeight w:val="190"/>
        </w:trPr>
        <w:tc>
          <w:tcPr>
            <w:tcW w:w="513" w:type="dxa"/>
            <w:vMerge/>
            <w:vAlign w:val="center"/>
          </w:tcPr>
          <w:p w14:paraId="6400914A" w14:textId="77777777" w:rsidR="00000000" w:rsidRDefault="00000000">
            <w:pPr>
              <w:widowControl/>
              <w:jc w:val="center"/>
              <w:rPr>
                <w:rFonts w:ascii="宋体" w:hAnsi="宋体" w:cs="宋体" w:hint="eastAsia"/>
                <w:kern w:val="0"/>
                <w:sz w:val="18"/>
                <w:szCs w:val="18"/>
              </w:rPr>
            </w:pPr>
          </w:p>
        </w:tc>
        <w:tc>
          <w:tcPr>
            <w:tcW w:w="2249" w:type="dxa"/>
            <w:vAlign w:val="center"/>
          </w:tcPr>
          <w:p w14:paraId="04D29EDA"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基础护理学</w:t>
            </w:r>
          </w:p>
        </w:tc>
        <w:tc>
          <w:tcPr>
            <w:tcW w:w="710" w:type="dxa"/>
            <w:vAlign w:val="center"/>
          </w:tcPr>
          <w:p w14:paraId="1F24B1F1" w14:textId="77777777" w:rsidR="00000000" w:rsidRDefault="00000000">
            <w:pPr>
              <w:widowControl/>
              <w:jc w:val="center"/>
              <w:rPr>
                <w:rFonts w:ascii="宋体" w:hAnsi="宋体" w:cs="宋体" w:hint="eastAsia"/>
                <w:kern w:val="0"/>
                <w:sz w:val="18"/>
                <w:szCs w:val="18"/>
              </w:rPr>
            </w:pPr>
          </w:p>
        </w:tc>
        <w:tc>
          <w:tcPr>
            <w:tcW w:w="671" w:type="dxa"/>
            <w:vAlign w:val="center"/>
          </w:tcPr>
          <w:p w14:paraId="5DCB2C7C" w14:textId="77777777" w:rsidR="00000000" w:rsidRDefault="00000000">
            <w:pPr>
              <w:widowControl/>
              <w:jc w:val="center"/>
              <w:rPr>
                <w:rFonts w:ascii="宋体" w:hAnsi="宋体" w:cs="宋体" w:hint="eastAsia"/>
                <w:kern w:val="0"/>
                <w:sz w:val="18"/>
                <w:szCs w:val="18"/>
              </w:rPr>
            </w:pPr>
          </w:p>
        </w:tc>
        <w:tc>
          <w:tcPr>
            <w:tcW w:w="592" w:type="dxa"/>
            <w:vAlign w:val="center"/>
          </w:tcPr>
          <w:p w14:paraId="56768B41"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1CC92045"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6AE7C0DE" w14:textId="77777777" w:rsidR="00000000" w:rsidRDefault="00000000">
            <w:pPr>
              <w:widowControl/>
              <w:jc w:val="center"/>
              <w:rPr>
                <w:rFonts w:ascii="宋体" w:hAnsi="宋体" w:cs="宋体" w:hint="eastAsia"/>
                <w:kern w:val="0"/>
                <w:sz w:val="18"/>
                <w:szCs w:val="18"/>
              </w:rPr>
            </w:pPr>
          </w:p>
        </w:tc>
        <w:tc>
          <w:tcPr>
            <w:tcW w:w="789" w:type="dxa"/>
            <w:vAlign w:val="center"/>
          </w:tcPr>
          <w:p w14:paraId="57DF01A1" w14:textId="77777777" w:rsidR="00000000" w:rsidRDefault="00000000">
            <w:pPr>
              <w:widowControl/>
              <w:jc w:val="center"/>
              <w:rPr>
                <w:rFonts w:ascii="宋体" w:hAnsi="宋体" w:cs="宋体" w:hint="eastAsia"/>
                <w:kern w:val="0"/>
                <w:sz w:val="18"/>
                <w:szCs w:val="18"/>
              </w:rPr>
            </w:pPr>
          </w:p>
        </w:tc>
        <w:tc>
          <w:tcPr>
            <w:tcW w:w="1578" w:type="dxa"/>
            <w:vAlign w:val="center"/>
          </w:tcPr>
          <w:p w14:paraId="214E566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w:t>
            </w:r>
          </w:p>
        </w:tc>
      </w:tr>
      <w:tr w:rsidR="00000000" w14:paraId="5453A1BE" w14:textId="77777777">
        <w:trPr>
          <w:trHeight w:val="166"/>
        </w:trPr>
        <w:tc>
          <w:tcPr>
            <w:tcW w:w="513" w:type="dxa"/>
            <w:vMerge/>
            <w:vAlign w:val="center"/>
          </w:tcPr>
          <w:p w14:paraId="732F2B23" w14:textId="77777777" w:rsidR="00000000" w:rsidRDefault="00000000">
            <w:pPr>
              <w:widowControl/>
              <w:jc w:val="center"/>
              <w:rPr>
                <w:rFonts w:ascii="宋体" w:hAnsi="宋体" w:cs="宋体" w:hint="eastAsia"/>
                <w:kern w:val="0"/>
                <w:sz w:val="18"/>
                <w:szCs w:val="18"/>
              </w:rPr>
            </w:pPr>
          </w:p>
        </w:tc>
        <w:tc>
          <w:tcPr>
            <w:tcW w:w="2249" w:type="dxa"/>
            <w:vAlign w:val="center"/>
          </w:tcPr>
          <w:p w14:paraId="7396CDC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病理学</w:t>
            </w:r>
          </w:p>
        </w:tc>
        <w:tc>
          <w:tcPr>
            <w:tcW w:w="710" w:type="dxa"/>
            <w:vAlign w:val="center"/>
          </w:tcPr>
          <w:p w14:paraId="7B624DD8" w14:textId="77777777" w:rsidR="00000000" w:rsidRDefault="00000000">
            <w:pPr>
              <w:widowControl/>
              <w:jc w:val="center"/>
              <w:rPr>
                <w:rFonts w:ascii="宋体" w:hAnsi="宋体" w:cs="宋体" w:hint="eastAsia"/>
                <w:kern w:val="0"/>
                <w:sz w:val="18"/>
                <w:szCs w:val="18"/>
              </w:rPr>
            </w:pPr>
          </w:p>
        </w:tc>
        <w:tc>
          <w:tcPr>
            <w:tcW w:w="671" w:type="dxa"/>
            <w:vAlign w:val="center"/>
          </w:tcPr>
          <w:p w14:paraId="05515AF9" w14:textId="77777777" w:rsidR="00000000" w:rsidRDefault="00000000">
            <w:pPr>
              <w:widowControl/>
              <w:jc w:val="center"/>
              <w:rPr>
                <w:rFonts w:ascii="宋体" w:hAnsi="宋体" w:cs="宋体" w:hint="eastAsia"/>
                <w:kern w:val="0"/>
                <w:sz w:val="18"/>
                <w:szCs w:val="18"/>
              </w:rPr>
            </w:pPr>
          </w:p>
        </w:tc>
        <w:tc>
          <w:tcPr>
            <w:tcW w:w="592" w:type="dxa"/>
            <w:vAlign w:val="center"/>
          </w:tcPr>
          <w:p w14:paraId="1D1BAD8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49DD71F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4F6A84C5" w14:textId="77777777" w:rsidR="00000000" w:rsidRDefault="00000000">
            <w:pPr>
              <w:widowControl/>
              <w:jc w:val="center"/>
              <w:rPr>
                <w:rFonts w:ascii="宋体" w:hAnsi="宋体" w:cs="宋体" w:hint="eastAsia"/>
                <w:kern w:val="0"/>
                <w:sz w:val="18"/>
                <w:szCs w:val="18"/>
              </w:rPr>
            </w:pPr>
          </w:p>
        </w:tc>
        <w:tc>
          <w:tcPr>
            <w:tcW w:w="789" w:type="dxa"/>
            <w:vAlign w:val="center"/>
          </w:tcPr>
          <w:p w14:paraId="44746A8F" w14:textId="77777777" w:rsidR="00000000" w:rsidRDefault="00000000">
            <w:pPr>
              <w:widowControl/>
              <w:jc w:val="center"/>
              <w:rPr>
                <w:rFonts w:ascii="宋体" w:hAnsi="宋体" w:cs="宋体" w:hint="eastAsia"/>
                <w:kern w:val="0"/>
                <w:sz w:val="18"/>
                <w:szCs w:val="18"/>
              </w:rPr>
            </w:pPr>
          </w:p>
        </w:tc>
        <w:tc>
          <w:tcPr>
            <w:tcW w:w="1578" w:type="dxa"/>
            <w:vAlign w:val="center"/>
          </w:tcPr>
          <w:p w14:paraId="4128C67E"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r w:rsidR="00000000" w14:paraId="391C6196" w14:textId="77777777">
        <w:trPr>
          <w:trHeight w:val="158"/>
        </w:trPr>
        <w:tc>
          <w:tcPr>
            <w:tcW w:w="513" w:type="dxa"/>
            <w:vMerge/>
            <w:vAlign w:val="center"/>
          </w:tcPr>
          <w:p w14:paraId="2770EB4A" w14:textId="77777777" w:rsidR="00000000" w:rsidRDefault="00000000">
            <w:pPr>
              <w:widowControl/>
              <w:jc w:val="center"/>
              <w:rPr>
                <w:rFonts w:ascii="宋体" w:hAnsi="宋体" w:cs="宋体" w:hint="eastAsia"/>
                <w:kern w:val="0"/>
                <w:sz w:val="18"/>
                <w:szCs w:val="18"/>
              </w:rPr>
            </w:pPr>
          </w:p>
        </w:tc>
        <w:tc>
          <w:tcPr>
            <w:tcW w:w="2249" w:type="dxa"/>
            <w:vAlign w:val="center"/>
          </w:tcPr>
          <w:p w14:paraId="31FF33A0"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药理学</w:t>
            </w:r>
          </w:p>
        </w:tc>
        <w:tc>
          <w:tcPr>
            <w:tcW w:w="710" w:type="dxa"/>
            <w:vAlign w:val="center"/>
          </w:tcPr>
          <w:p w14:paraId="266C4E61" w14:textId="77777777" w:rsidR="00000000" w:rsidRDefault="00000000">
            <w:pPr>
              <w:widowControl/>
              <w:jc w:val="center"/>
              <w:rPr>
                <w:rFonts w:ascii="宋体" w:hAnsi="宋体" w:cs="宋体" w:hint="eastAsia"/>
                <w:kern w:val="0"/>
                <w:sz w:val="18"/>
                <w:szCs w:val="18"/>
              </w:rPr>
            </w:pPr>
          </w:p>
        </w:tc>
        <w:tc>
          <w:tcPr>
            <w:tcW w:w="671" w:type="dxa"/>
            <w:vAlign w:val="center"/>
          </w:tcPr>
          <w:p w14:paraId="24079D22" w14:textId="77777777" w:rsidR="00000000" w:rsidRDefault="00000000">
            <w:pPr>
              <w:widowControl/>
              <w:jc w:val="center"/>
              <w:rPr>
                <w:rFonts w:ascii="宋体" w:hAnsi="宋体" w:cs="宋体" w:hint="eastAsia"/>
                <w:kern w:val="0"/>
                <w:sz w:val="18"/>
                <w:szCs w:val="18"/>
              </w:rPr>
            </w:pPr>
          </w:p>
        </w:tc>
        <w:tc>
          <w:tcPr>
            <w:tcW w:w="592" w:type="dxa"/>
            <w:vAlign w:val="center"/>
          </w:tcPr>
          <w:p w14:paraId="5323D62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665" w:type="dxa"/>
            <w:vAlign w:val="center"/>
          </w:tcPr>
          <w:p w14:paraId="20DC585D"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4</w:t>
            </w:r>
          </w:p>
        </w:tc>
        <w:tc>
          <w:tcPr>
            <w:tcW w:w="716" w:type="dxa"/>
            <w:vAlign w:val="center"/>
          </w:tcPr>
          <w:p w14:paraId="40369D5C" w14:textId="77777777" w:rsidR="00000000" w:rsidRDefault="00000000">
            <w:pPr>
              <w:widowControl/>
              <w:jc w:val="center"/>
              <w:rPr>
                <w:rFonts w:ascii="宋体" w:hAnsi="宋体" w:cs="宋体" w:hint="eastAsia"/>
                <w:kern w:val="0"/>
                <w:sz w:val="18"/>
                <w:szCs w:val="18"/>
              </w:rPr>
            </w:pPr>
          </w:p>
        </w:tc>
        <w:tc>
          <w:tcPr>
            <w:tcW w:w="789" w:type="dxa"/>
            <w:vAlign w:val="center"/>
          </w:tcPr>
          <w:p w14:paraId="0A3FA765" w14:textId="77777777" w:rsidR="00000000" w:rsidRDefault="00000000">
            <w:pPr>
              <w:widowControl/>
              <w:jc w:val="center"/>
              <w:rPr>
                <w:rFonts w:ascii="宋体" w:hAnsi="宋体" w:cs="宋体" w:hint="eastAsia"/>
                <w:kern w:val="0"/>
                <w:sz w:val="18"/>
                <w:szCs w:val="18"/>
              </w:rPr>
            </w:pPr>
          </w:p>
        </w:tc>
        <w:tc>
          <w:tcPr>
            <w:tcW w:w="1578" w:type="dxa"/>
            <w:vAlign w:val="center"/>
          </w:tcPr>
          <w:p w14:paraId="4705806B" w14:textId="77777777" w:rsidR="00000000" w:rsidRDefault="00000000">
            <w:pPr>
              <w:widowControl/>
              <w:jc w:val="center"/>
              <w:rPr>
                <w:rFonts w:ascii="宋体" w:hAnsi="宋体" w:cs="宋体" w:hint="eastAsia"/>
                <w:kern w:val="0"/>
                <w:sz w:val="18"/>
                <w:szCs w:val="18"/>
              </w:rPr>
            </w:pPr>
            <w:r>
              <w:rPr>
                <w:rFonts w:ascii="宋体" w:hAnsi="宋体" w:cs="宋体" w:hint="eastAsia"/>
                <w:kern w:val="0"/>
                <w:sz w:val="18"/>
                <w:szCs w:val="18"/>
              </w:rPr>
              <w:t>国规、校本</w:t>
            </w:r>
          </w:p>
        </w:tc>
      </w:tr>
    </w:tbl>
    <w:p w14:paraId="10D893BB" w14:textId="77777777" w:rsidR="00000000" w:rsidRDefault="00000000">
      <w:pPr>
        <w:spacing w:line="580" w:lineRule="exact"/>
        <w:jc w:val="left"/>
        <w:rPr>
          <w:rFonts w:ascii="黑体" w:eastAsia="黑体" w:hAnsi="黑体" w:hint="eastAsia"/>
          <w:sz w:val="32"/>
          <w:szCs w:val="32"/>
        </w:rPr>
      </w:pPr>
    </w:p>
    <w:p w14:paraId="5FA83769" w14:textId="77777777" w:rsidR="00000000" w:rsidRDefault="00000000">
      <w:pPr>
        <w:spacing w:line="580" w:lineRule="exact"/>
        <w:jc w:val="left"/>
        <w:rPr>
          <w:rFonts w:ascii="黑体" w:eastAsia="黑体" w:hAnsi="黑体" w:hint="eastAsia"/>
          <w:sz w:val="32"/>
          <w:szCs w:val="32"/>
        </w:rPr>
      </w:pPr>
      <w:r>
        <w:rPr>
          <w:rFonts w:ascii="黑体" w:eastAsia="黑体" w:hAnsi="黑体" w:hint="eastAsia"/>
          <w:sz w:val="32"/>
          <w:szCs w:val="32"/>
        </w:rPr>
        <w:t>八、实施保障</w:t>
      </w:r>
    </w:p>
    <w:p w14:paraId="5362A61D" w14:textId="77777777" w:rsidR="00000000" w:rsidRDefault="00000000">
      <w:pPr>
        <w:spacing w:line="580" w:lineRule="exact"/>
        <w:jc w:val="left"/>
        <w:rPr>
          <w:rFonts w:ascii="仿宋" w:eastAsia="仿宋" w:hAnsi="仿宋"/>
          <w:sz w:val="32"/>
          <w:szCs w:val="32"/>
        </w:rPr>
      </w:pPr>
      <w:r>
        <w:rPr>
          <w:rFonts w:ascii="黑体" w:eastAsia="黑体" w:hAnsi="黑体" w:hint="eastAsia"/>
          <w:sz w:val="32"/>
          <w:szCs w:val="32"/>
        </w:rPr>
        <w:t xml:space="preserve">  </w:t>
      </w:r>
      <w:r>
        <w:rPr>
          <w:rFonts w:ascii="仿宋" w:eastAsia="仿宋" w:hAnsi="仿宋" w:hint="eastAsia"/>
          <w:sz w:val="32"/>
          <w:szCs w:val="32"/>
        </w:rPr>
        <w:t>主要包括师资队伍、教学设施、教学资源、教学方法、学习评价、质量管理等方面。</w:t>
      </w:r>
    </w:p>
    <w:p w14:paraId="0A8B80C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（一）师资队伍</w:t>
      </w:r>
    </w:p>
    <w:p w14:paraId="24D713E7"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按照“四有好老师”“四个相统一”“四个引路人”的要求建设专业教师队伍，将师德师风作为师资队伍建设的第一标准。</w:t>
      </w:r>
    </w:p>
    <w:p w14:paraId="6A2349B3"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1.队伍结构</w:t>
      </w:r>
    </w:p>
    <w:p w14:paraId="66CF4E7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本专业专任教师共23人，均具有本科以上学历，具有“双师型”资格教师20人，占比为87%，师资结构合理。专业学生数400人，师生比例近20:1，达到国家标准要求。</w:t>
      </w:r>
    </w:p>
    <w:p w14:paraId="3A02F1EB"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2.专业带头人</w:t>
      </w:r>
    </w:p>
    <w:p w14:paraId="1E079C6A"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原则上应具有本专业及相关专业副高及以上职称和较强的实践能力，能广泛联系行业企业，了解国内外护理行业发展新趋势，准确把握行业企业用人需求，具有组织开展专业建设、教科研工作和企业服务的能力，在本专业改革发展中起引领作用。</w:t>
      </w:r>
    </w:p>
    <w:p w14:paraId="2508526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3.专任教师</w:t>
      </w:r>
    </w:p>
    <w:p w14:paraId="4B4DB5E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具有教师资格证书；具有护理等相关专业学历；具有本专业理论和实践能力；能够落实课程思政要求，挖掘专业课程中的思政教育元素和资源；能够运用信息技术开展混合式</w:t>
      </w:r>
      <w:r>
        <w:rPr>
          <w:rFonts w:ascii="仿宋" w:eastAsia="仿宋" w:hAnsi="仿宋" w:hint="eastAsia"/>
          <w:sz w:val="32"/>
          <w:szCs w:val="32"/>
        </w:rPr>
        <w:lastRenderedPageBreak/>
        <w:t>教学等教法改革；能够跟踪新经济、新技术发展前沿，开展社会服务；专业教师每年至少1个月在医院或实训基地实训，每5年累计不少于6个月的医院实践经历。</w:t>
      </w:r>
    </w:p>
    <w:p w14:paraId="7F47FDC9"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4.兼职教师</w:t>
      </w:r>
    </w:p>
    <w:p w14:paraId="07E001E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主要从本专业相关行业企业的高技术技能人才中聘任，应具有扎实的专业知识和丰富的实际工作经验，原则上应具有中级及以上相关专业技术职称，了解教育教学规律，能承担专业课程教学、实习实训指导和学生职业发展规划指导等专业教学任务。应建立专门针对兼职教师聘任与管理的具体实施办法。</w:t>
      </w:r>
    </w:p>
    <w:p w14:paraId="37B6CF51"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（二）教学设施</w:t>
      </w:r>
    </w:p>
    <w:p w14:paraId="7B3C37AE"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1.专业教室基本要求</w:t>
      </w:r>
    </w:p>
    <w:p w14:paraId="5031059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具备利用信息化手段开展混合式教学的条件。一般配备黑（白）板、多媒体计算机、投影设备、音响设备，互联网接入或无线网络环境，并具有网络安全防护措施。安装应急照明装置并保持良好状态，符合紧急疏散要求、标志明显、保持逃生通道畅通无阻。</w:t>
      </w:r>
    </w:p>
    <w:p w14:paraId="03AF9985" w14:textId="77777777" w:rsidR="00000000" w:rsidRDefault="00000000">
      <w:pPr>
        <w:numPr>
          <w:ilvl w:val="0"/>
          <w:numId w:val="3"/>
        </w:num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校内外实训场所基本要求</w:t>
      </w:r>
    </w:p>
    <w:p w14:paraId="02A130E0"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根据本专业人才培养目标的要求及课程设置的需要，按每班40名学生为基准，实训室配置如下：</w:t>
      </w:r>
    </w:p>
    <w:p w14:paraId="7CDCC5A2" w14:textId="77777777" w:rsidR="00000000" w:rsidRDefault="00000000">
      <w:pPr>
        <w:spacing w:line="580" w:lineRule="exact"/>
        <w:jc w:val="center"/>
        <w:rPr>
          <w:rFonts w:ascii="仿宋" w:eastAsia="仿宋" w:hAnsi="仿宋" w:hint="eastAsia"/>
          <w:sz w:val="32"/>
          <w:szCs w:val="32"/>
        </w:rPr>
      </w:pPr>
    </w:p>
    <w:p w14:paraId="3C96C3E7" w14:textId="77777777" w:rsidR="00000000" w:rsidRDefault="00000000">
      <w:pPr>
        <w:spacing w:line="580" w:lineRule="exact"/>
        <w:jc w:val="center"/>
        <w:rPr>
          <w:rFonts w:ascii="仿宋" w:eastAsia="仿宋" w:hAnsi="仿宋" w:hint="eastAsia"/>
          <w:sz w:val="32"/>
          <w:szCs w:val="32"/>
        </w:rPr>
      </w:pPr>
    </w:p>
    <w:p w14:paraId="7EE63C9F" w14:textId="77777777" w:rsidR="00000000" w:rsidRDefault="00000000">
      <w:pPr>
        <w:spacing w:line="580" w:lineRule="exact"/>
        <w:jc w:val="center"/>
        <w:rPr>
          <w:rFonts w:ascii="仿宋" w:eastAsia="仿宋" w:hAnsi="仿宋" w:hint="eastAsia"/>
          <w:sz w:val="32"/>
          <w:szCs w:val="32"/>
        </w:rPr>
      </w:pPr>
    </w:p>
    <w:p w14:paraId="61B09972" w14:textId="77777777" w:rsidR="00000000" w:rsidRDefault="00000000">
      <w:pPr>
        <w:spacing w:line="580" w:lineRule="exact"/>
        <w:jc w:val="center"/>
        <w:rPr>
          <w:rFonts w:ascii="仿宋" w:eastAsia="仿宋" w:hAnsi="仿宋" w:hint="eastAsia"/>
          <w:sz w:val="32"/>
          <w:szCs w:val="32"/>
        </w:rPr>
      </w:pPr>
    </w:p>
    <w:p w14:paraId="4EFB83A7" w14:textId="77777777" w:rsidR="00000000" w:rsidRDefault="00000000">
      <w:pPr>
        <w:spacing w:line="580" w:lineRule="exact"/>
        <w:jc w:val="center"/>
        <w:rPr>
          <w:rFonts w:ascii="仿宋" w:eastAsia="仿宋" w:hAnsi="仿宋" w:hint="eastAsia"/>
          <w:sz w:val="32"/>
          <w:szCs w:val="32"/>
        </w:rPr>
      </w:pPr>
      <w:r>
        <w:rPr>
          <w:rFonts w:ascii="仿宋" w:eastAsia="仿宋" w:hAnsi="仿宋" w:hint="eastAsia"/>
          <w:sz w:val="32"/>
          <w:szCs w:val="32"/>
        </w:rPr>
        <w:lastRenderedPageBreak/>
        <w:t>实训设备清单</w:t>
      </w:r>
    </w:p>
    <w:tbl>
      <w:tblPr>
        <w:tblW w:w="0" w:type="auto"/>
        <w:tblInd w:w="93" w:type="dxa"/>
        <w:tblLayout w:type="fixed"/>
        <w:tblLook w:val="0000" w:firstRow="0" w:lastRow="0" w:firstColumn="0" w:lastColumn="0" w:noHBand="0" w:noVBand="0"/>
      </w:tblPr>
      <w:tblGrid>
        <w:gridCol w:w="344"/>
        <w:gridCol w:w="1239"/>
        <w:gridCol w:w="1111"/>
        <w:gridCol w:w="443"/>
        <w:gridCol w:w="5292"/>
      </w:tblGrid>
      <w:tr w:rsidR="00000000" w14:paraId="66F6C15B" w14:textId="77777777">
        <w:trPr>
          <w:trHeight w:val="270"/>
        </w:trPr>
        <w:tc>
          <w:tcPr>
            <w:tcW w:w="344" w:type="dxa"/>
            <w:tcBorders>
              <w:top w:val="single" w:sz="4" w:space="0" w:color="000000"/>
              <w:left w:val="single" w:sz="4" w:space="0" w:color="000000"/>
              <w:bottom w:val="single" w:sz="4" w:space="0" w:color="000000"/>
              <w:right w:val="single" w:sz="4" w:space="0" w:color="000000"/>
            </w:tcBorders>
            <w:noWrap/>
            <w:vAlign w:val="center"/>
          </w:tcPr>
          <w:p w14:paraId="21F6845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序号</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093F11CA"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编号</w:t>
            </w: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539A173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试验台名称</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597AB3D0"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数量</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535109E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配置</w:t>
            </w:r>
          </w:p>
        </w:tc>
      </w:tr>
      <w:tr w:rsidR="00000000" w14:paraId="37E4B065" w14:textId="77777777">
        <w:trPr>
          <w:trHeight w:val="1560"/>
        </w:trPr>
        <w:tc>
          <w:tcPr>
            <w:tcW w:w="344" w:type="dxa"/>
            <w:tcBorders>
              <w:top w:val="single" w:sz="4" w:space="0" w:color="000000"/>
              <w:left w:val="single" w:sz="4" w:space="0" w:color="000000"/>
              <w:bottom w:val="nil"/>
              <w:right w:val="single" w:sz="4" w:space="0" w:color="000000"/>
            </w:tcBorders>
            <w:noWrap/>
            <w:vAlign w:val="center"/>
          </w:tcPr>
          <w:p w14:paraId="2364AE5B"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w:t>
            </w:r>
          </w:p>
        </w:tc>
        <w:tc>
          <w:tcPr>
            <w:tcW w:w="1239" w:type="dxa"/>
            <w:tcBorders>
              <w:top w:val="single" w:sz="4" w:space="0" w:color="000000"/>
              <w:left w:val="single" w:sz="4" w:space="0" w:color="000000"/>
              <w:bottom w:val="nil"/>
              <w:right w:val="single" w:sz="4" w:space="0" w:color="000000"/>
            </w:tcBorders>
            <w:noWrap/>
            <w:vAlign w:val="center"/>
          </w:tcPr>
          <w:p w14:paraId="68819AEB"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老年人体格检查室</w:t>
            </w:r>
          </w:p>
        </w:tc>
        <w:tc>
          <w:tcPr>
            <w:tcW w:w="1111" w:type="dxa"/>
            <w:tcBorders>
              <w:top w:val="nil"/>
              <w:left w:val="nil"/>
              <w:bottom w:val="nil"/>
              <w:right w:val="nil"/>
            </w:tcBorders>
            <w:noWrap/>
            <w:vAlign w:val="center"/>
          </w:tcPr>
          <w:p w14:paraId="4F211C9C"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双摇护理床</w:t>
            </w:r>
          </w:p>
        </w:tc>
        <w:tc>
          <w:tcPr>
            <w:tcW w:w="443" w:type="dxa"/>
            <w:tcBorders>
              <w:top w:val="single" w:sz="4" w:space="0" w:color="000000"/>
              <w:left w:val="single" w:sz="4" w:space="0" w:color="000000"/>
              <w:bottom w:val="nil"/>
              <w:right w:val="single" w:sz="4" w:space="0" w:color="000000"/>
            </w:tcBorders>
            <w:noWrap/>
            <w:vAlign w:val="center"/>
          </w:tcPr>
          <w:p w14:paraId="44537473"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nil"/>
              <w:left w:val="nil"/>
              <w:bottom w:val="nil"/>
              <w:right w:val="nil"/>
            </w:tcBorders>
            <w:noWrap/>
            <w:vAlign w:val="center"/>
          </w:tcPr>
          <w:p w14:paraId="50A7293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护理床、引流袋挂钩，不锈钢升降式输液架，餐桌板，铝合金护栏，床垫、５寸高级带刹白色外罩静音脚轮、刹车装置。</w:t>
            </w:r>
          </w:p>
        </w:tc>
      </w:tr>
      <w:tr w:rsidR="00000000" w14:paraId="7906BB34" w14:textId="77777777">
        <w:trPr>
          <w:trHeight w:val="3420"/>
        </w:trPr>
        <w:tc>
          <w:tcPr>
            <w:tcW w:w="344" w:type="dxa"/>
            <w:tcBorders>
              <w:top w:val="single" w:sz="4" w:space="0" w:color="000000"/>
              <w:left w:val="single" w:sz="4" w:space="0" w:color="000000"/>
              <w:bottom w:val="nil"/>
              <w:right w:val="single" w:sz="4" w:space="0" w:color="000000"/>
            </w:tcBorders>
            <w:noWrap/>
            <w:vAlign w:val="center"/>
          </w:tcPr>
          <w:p w14:paraId="5B4FD9D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2</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21662F48"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6830ACE1"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推拿按摩床</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2E6517C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774DA6D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规格：≥1900mm×620mm×620mm  ，床框采用 50×30×1.2的优质碳钢矩管，表面多功能处理静电喷塑，床脚采用40×40×1.2优质矩管，便于方便安装与运输并带防滑胶垫；四脚采用矩管连接固定，稳定性能强； 床面高级人革面，内衬高密度发酵泡沫，不容易变形；床下方配有杂物架；床板采用7层优质木工板，内带病人脸孔，方便病人透气；</w:t>
            </w:r>
          </w:p>
        </w:tc>
      </w:tr>
      <w:tr w:rsidR="00000000" w14:paraId="43E25D48" w14:textId="77777777">
        <w:trPr>
          <w:trHeight w:val="1080"/>
        </w:trPr>
        <w:tc>
          <w:tcPr>
            <w:tcW w:w="344" w:type="dxa"/>
            <w:tcBorders>
              <w:top w:val="single" w:sz="4" w:space="0" w:color="000000"/>
              <w:left w:val="single" w:sz="4" w:space="0" w:color="000000"/>
              <w:bottom w:val="nil"/>
              <w:right w:val="single" w:sz="4" w:space="0" w:color="000000"/>
            </w:tcBorders>
            <w:noWrap/>
            <w:vAlign w:val="center"/>
          </w:tcPr>
          <w:p w14:paraId="1248BB2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3</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0B403AA9"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3A170C0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手动腰椎牵引床</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21366ACD"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3FABFBA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尺寸要求：≥2000×600×300mm，牵引行程：0-200mm，手摇调节牵引</w:t>
            </w:r>
          </w:p>
        </w:tc>
      </w:tr>
      <w:tr w:rsidR="00000000" w14:paraId="2E2D4C45" w14:textId="77777777">
        <w:trPr>
          <w:trHeight w:val="1520"/>
        </w:trPr>
        <w:tc>
          <w:tcPr>
            <w:tcW w:w="344" w:type="dxa"/>
            <w:tcBorders>
              <w:top w:val="single" w:sz="4" w:space="0" w:color="000000"/>
              <w:left w:val="single" w:sz="4" w:space="0" w:color="000000"/>
              <w:bottom w:val="nil"/>
              <w:right w:val="single" w:sz="4" w:space="0" w:color="000000"/>
            </w:tcBorders>
            <w:noWrap/>
            <w:vAlign w:val="center"/>
          </w:tcPr>
          <w:p w14:paraId="5E2179A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4</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45450E74"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05484B9D"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老年服务模型</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418986D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5407113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全套模型由全身老年模拟人和无创血压测量模拟器组成，有近50项护理功能。模型由进口PVC塑胶材料，经模具浇模工艺制成</w:t>
            </w:r>
          </w:p>
        </w:tc>
      </w:tr>
      <w:tr w:rsidR="00000000" w14:paraId="30297FD3" w14:textId="77777777">
        <w:trPr>
          <w:trHeight w:val="1220"/>
        </w:trPr>
        <w:tc>
          <w:tcPr>
            <w:tcW w:w="344" w:type="dxa"/>
            <w:tcBorders>
              <w:top w:val="single" w:sz="4" w:space="0" w:color="000000"/>
              <w:left w:val="single" w:sz="4" w:space="0" w:color="000000"/>
              <w:bottom w:val="nil"/>
              <w:right w:val="single" w:sz="4" w:space="0" w:color="000000"/>
            </w:tcBorders>
            <w:noWrap/>
            <w:vAlign w:val="center"/>
          </w:tcPr>
          <w:p w14:paraId="1AD3B741"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5</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4729F754"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center"/>
          </w:tcPr>
          <w:p w14:paraId="30022CA1"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医用床上用品</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5E76F18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center"/>
          </w:tcPr>
          <w:p w14:paraId="141CCE7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产品类型：三折床垫。规格：1920×830×80mm (L×W×H)。配套双摇护理床使用.</w:t>
            </w:r>
          </w:p>
        </w:tc>
      </w:tr>
      <w:tr w:rsidR="00000000" w14:paraId="6EAD1C30" w14:textId="77777777">
        <w:trPr>
          <w:trHeight w:val="1000"/>
        </w:trPr>
        <w:tc>
          <w:tcPr>
            <w:tcW w:w="344" w:type="dxa"/>
            <w:tcBorders>
              <w:top w:val="single" w:sz="4" w:space="0" w:color="000000"/>
              <w:left w:val="single" w:sz="4" w:space="0" w:color="000000"/>
              <w:bottom w:val="nil"/>
              <w:right w:val="single" w:sz="4" w:space="0" w:color="000000"/>
            </w:tcBorders>
            <w:noWrap/>
            <w:vAlign w:val="center"/>
          </w:tcPr>
          <w:p w14:paraId="43199E44"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1239" w:type="dxa"/>
            <w:tcBorders>
              <w:top w:val="nil"/>
              <w:left w:val="single" w:sz="4" w:space="0" w:color="000000"/>
              <w:bottom w:val="single" w:sz="4" w:space="0" w:color="000000"/>
              <w:right w:val="single" w:sz="4" w:space="0" w:color="000000"/>
            </w:tcBorders>
            <w:noWrap/>
            <w:vAlign w:val="center"/>
          </w:tcPr>
          <w:p w14:paraId="48D95DA9"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55EAF6C2"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医用床头柜</w:t>
            </w:r>
          </w:p>
        </w:tc>
        <w:tc>
          <w:tcPr>
            <w:tcW w:w="443" w:type="dxa"/>
            <w:tcBorders>
              <w:top w:val="nil"/>
              <w:left w:val="single" w:sz="4" w:space="0" w:color="000000"/>
              <w:bottom w:val="single" w:sz="4" w:space="0" w:color="000000"/>
              <w:right w:val="single" w:sz="4" w:space="0" w:color="000000"/>
            </w:tcBorders>
            <w:noWrap/>
            <w:vAlign w:val="center"/>
          </w:tcPr>
          <w:p w14:paraId="32094C91"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vAlign w:val="center"/>
          </w:tcPr>
          <w:p w14:paraId="29CB1338"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全部采用304不锈钢制作，采用四周拍死边工艺，增加产品强度，且不会划手；</w:t>
            </w:r>
          </w:p>
        </w:tc>
      </w:tr>
      <w:tr w:rsidR="00000000" w14:paraId="7A8D0137" w14:textId="77777777">
        <w:trPr>
          <w:trHeight w:val="680"/>
        </w:trPr>
        <w:tc>
          <w:tcPr>
            <w:tcW w:w="344" w:type="dxa"/>
            <w:tcBorders>
              <w:top w:val="single" w:sz="4" w:space="0" w:color="000000"/>
              <w:left w:val="single" w:sz="4" w:space="0" w:color="000000"/>
              <w:bottom w:val="nil"/>
              <w:right w:val="single" w:sz="4" w:space="0" w:color="000000"/>
            </w:tcBorders>
            <w:noWrap/>
            <w:vAlign w:val="center"/>
          </w:tcPr>
          <w:p w14:paraId="021F5D45"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7</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0849CF0D"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1298D4E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可升降护理餐桌</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0C2D8991"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10</w:t>
            </w:r>
          </w:p>
        </w:tc>
        <w:tc>
          <w:tcPr>
            <w:tcW w:w="5292" w:type="dxa"/>
            <w:tcBorders>
              <w:top w:val="single" w:sz="4" w:space="0" w:color="000000"/>
              <w:left w:val="single" w:sz="4" w:space="0" w:color="000000"/>
              <w:bottom w:val="single" w:sz="4" w:space="0" w:color="000000"/>
              <w:right w:val="single" w:sz="4" w:space="0" w:color="000000"/>
            </w:tcBorders>
            <w:noWrap/>
            <w:vAlign w:val="bottom"/>
          </w:tcPr>
          <w:p w14:paraId="4A03457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钢喷塑框架，内藏进口气动弹簧，桌面为PP移动式可升降餐桌台。</w:t>
            </w:r>
          </w:p>
        </w:tc>
      </w:tr>
      <w:tr w:rsidR="00000000" w14:paraId="5D69F77F" w14:textId="77777777">
        <w:trPr>
          <w:trHeight w:val="720"/>
        </w:trPr>
        <w:tc>
          <w:tcPr>
            <w:tcW w:w="344" w:type="dxa"/>
            <w:tcBorders>
              <w:top w:val="single" w:sz="4" w:space="0" w:color="000000"/>
              <w:left w:val="single" w:sz="4" w:space="0" w:color="000000"/>
              <w:bottom w:val="nil"/>
              <w:right w:val="single" w:sz="4" w:space="0" w:color="000000"/>
            </w:tcBorders>
            <w:noWrap/>
            <w:vAlign w:val="center"/>
          </w:tcPr>
          <w:p w14:paraId="0E74A3CE"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8</w:t>
            </w:r>
          </w:p>
        </w:tc>
        <w:tc>
          <w:tcPr>
            <w:tcW w:w="1239" w:type="dxa"/>
            <w:tcBorders>
              <w:top w:val="single" w:sz="4" w:space="0" w:color="000000"/>
              <w:left w:val="single" w:sz="4" w:space="0" w:color="000000"/>
              <w:bottom w:val="single" w:sz="4" w:space="0" w:color="000000"/>
              <w:right w:val="single" w:sz="4" w:space="0" w:color="000000"/>
            </w:tcBorders>
            <w:noWrap/>
            <w:vAlign w:val="center"/>
          </w:tcPr>
          <w:p w14:paraId="2BBCBD06" w14:textId="77777777" w:rsidR="00000000" w:rsidRDefault="00000000">
            <w:pPr>
              <w:widowControl/>
              <w:jc w:val="center"/>
              <w:textAlignment w:val="center"/>
              <w:rPr>
                <w:rFonts w:ascii="宋体" w:hAnsi="宋体" w:cs="宋体" w:hint="eastAsia"/>
                <w:color w:val="000000"/>
                <w:kern w:val="0"/>
                <w:sz w:val="22"/>
                <w:szCs w:val="22"/>
                <w:lang w:bidi="ar"/>
              </w:rPr>
            </w:pPr>
          </w:p>
        </w:tc>
        <w:tc>
          <w:tcPr>
            <w:tcW w:w="1111" w:type="dxa"/>
            <w:tcBorders>
              <w:top w:val="single" w:sz="4" w:space="0" w:color="000000"/>
              <w:left w:val="single" w:sz="4" w:space="0" w:color="000000"/>
              <w:bottom w:val="single" w:sz="4" w:space="0" w:color="000000"/>
              <w:right w:val="single" w:sz="4" w:space="0" w:color="000000"/>
            </w:tcBorders>
            <w:noWrap/>
            <w:vAlign w:val="bottom"/>
          </w:tcPr>
          <w:p w14:paraId="02AC68F3"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医用屏风</w:t>
            </w:r>
          </w:p>
        </w:tc>
        <w:tc>
          <w:tcPr>
            <w:tcW w:w="443" w:type="dxa"/>
            <w:tcBorders>
              <w:top w:val="single" w:sz="4" w:space="0" w:color="000000"/>
              <w:left w:val="single" w:sz="4" w:space="0" w:color="000000"/>
              <w:bottom w:val="single" w:sz="4" w:space="0" w:color="000000"/>
              <w:right w:val="single" w:sz="4" w:space="0" w:color="000000"/>
            </w:tcBorders>
            <w:noWrap/>
            <w:vAlign w:val="center"/>
          </w:tcPr>
          <w:p w14:paraId="2B42D69F"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6</w:t>
            </w:r>
          </w:p>
        </w:tc>
        <w:tc>
          <w:tcPr>
            <w:tcW w:w="5292" w:type="dxa"/>
            <w:tcBorders>
              <w:top w:val="single" w:sz="4" w:space="0" w:color="000000"/>
              <w:left w:val="single" w:sz="4" w:space="0" w:color="000000"/>
              <w:bottom w:val="single" w:sz="4" w:space="0" w:color="000000"/>
              <w:right w:val="single" w:sz="4" w:space="0" w:color="000000"/>
            </w:tcBorders>
            <w:noWrap/>
            <w:vAlign w:val="bottom"/>
          </w:tcPr>
          <w:p w14:paraId="3E3048E9" w14:textId="77777777" w:rsidR="00000000" w:rsidRDefault="00000000">
            <w:pPr>
              <w:widowControl/>
              <w:jc w:val="center"/>
              <w:textAlignment w:val="center"/>
              <w:rPr>
                <w:rFonts w:ascii="宋体" w:hAnsi="宋体" w:cs="宋体" w:hint="eastAsia"/>
                <w:color w:val="000000"/>
                <w:kern w:val="0"/>
                <w:sz w:val="22"/>
                <w:szCs w:val="22"/>
                <w:lang w:bidi="ar"/>
              </w:rPr>
            </w:pPr>
            <w:r>
              <w:rPr>
                <w:rFonts w:ascii="宋体" w:hAnsi="宋体" w:cs="宋体" w:hint="eastAsia"/>
                <w:color w:val="000000"/>
                <w:kern w:val="0"/>
                <w:sz w:val="22"/>
                <w:szCs w:val="22"/>
                <w:lang w:bidi="ar"/>
              </w:rPr>
              <w:t>不锈钢4折医用屏风，布遮挡隔断折叠加厚带轮</w:t>
            </w:r>
          </w:p>
        </w:tc>
      </w:tr>
    </w:tbl>
    <w:p w14:paraId="4548AFB5" w14:textId="77777777" w:rsidR="00000000" w:rsidRDefault="00000000">
      <w:pPr>
        <w:ind w:firstLineChars="200" w:firstLine="420"/>
        <w:rPr>
          <w:rFonts w:ascii="楷体_GB2312" w:eastAsia="楷体_GB2312" w:hAnsi="楷体_GB2312" w:cs="楷体_GB2312" w:hint="eastAsia"/>
          <w:szCs w:val="21"/>
        </w:rPr>
      </w:pPr>
    </w:p>
    <w:p w14:paraId="1089942A" w14:textId="77777777" w:rsidR="00000000" w:rsidRDefault="00000000">
      <w:pPr>
        <w:spacing w:line="580" w:lineRule="exact"/>
        <w:ind w:firstLineChars="200" w:firstLine="640"/>
        <w:rPr>
          <w:rFonts w:ascii="仿宋" w:eastAsia="仿宋" w:hAnsi="仿宋" w:hint="eastAsia"/>
          <w:sz w:val="32"/>
          <w:szCs w:val="32"/>
        </w:rPr>
      </w:pPr>
    </w:p>
    <w:p w14:paraId="0905C7D5"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3.实习场所基本要求</w:t>
      </w:r>
    </w:p>
    <w:p w14:paraId="3DCFEF2D"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符合《职业学校学生实习管理规定》《职业学校校企合作促进办法》等对实习单位的有关要求，经实地考察后，确定合法经营、管理规范，实习条件完备且符合产业发展实际、符合安全生产法律法规要求，与学校建立稳定合作关系的单位成为实习基地，并签署学校、学生、实习单位三方协议。</w:t>
      </w:r>
    </w:p>
    <w:p w14:paraId="6D175F0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根据本专业人才培养的需要和未来就业需求，实习基地应能提供主管、会计、出纳等与专业对口的相关实习岗位，能涵盖当前相关产业发展的主流技术，可接纳一定规模的学生实习；学校和实习单位双方共同制订实习计划，能够配备相应数量的指导教师对学生实习进行指导和管理，实习单位安排有经验的技术或管理人员担任实习指导教师，开展专业教学和职业技能训练，完成实习质量评价，做好学生实习服务和管理工作，有保证实习学生日常工作、学习、生活的规章制度，有安全、保险保障，依法依规保障学生的基本权益。</w:t>
      </w:r>
    </w:p>
    <w:p w14:paraId="34A63710" w14:textId="77777777" w:rsidR="00000000" w:rsidRDefault="00000000">
      <w:pPr>
        <w:spacing w:line="580" w:lineRule="exact"/>
        <w:ind w:firstLineChars="200" w:firstLine="640"/>
        <w:rPr>
          <w:rFonts w:ascii="仿宋" w:eastAsia="仿宋" w:hAnsi="仿宋"/>
          <w:sz w:val="32"/>
          <w:szCs w:val="32"/>
        </w:rPr>
      </w:pPr>
      <w:r>
        <w:rPr>
          <w:rFonts w:ascii="仿宋" w:eastAsia="仿宋" w:hAnsi="仿宋" w:hint="eastAsia"/>
          <w:sz w:val="32"/>
          <w:szCs w:val="32"/>
        </w:rPr>
        <w:t>（三）教学资源</w:t>
      </w:r>
    </w:p>
    <w:p w14:paraId="679B2346"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主要包括能够满足学生专业学习、教师专业教学研究和教学实施需要的教材、图书及数字化资源等。</w:t>
      </w:r>
    </w:p>
    <w:p w14:paraId="45A512B1"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1.教材选用要求</w:t>
      </w:r>
    </w:p>
    <w:p w14:paraId="68CAD71B"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按照国家规定，经过规范程序选用教材，优先选用国家规划教材、国家优秀教材和省级规划教材，国家和省级规划目录中没有的教材，可在国家和省职业院校教材信息库选用。专业课程教材应体现本行业新技术、新规范、新标准、新形态。学校应建立由专业教师、行业企业专家和教研人员等参与的</w:t>
      </w:r>
      <w:r>
        <w:rPr>
          <w:rFonts w:ascii="仿宋" w:eastAsia="仿宋" w:hAnsi="仿宋" w:hint="eastAsia"/>
          <w:sz w:val="32"/>
          <w:szCs w:val="32"/>
        </w:rPr>
        <w:lastRenderedPageBreak/>
        <w:t>教材选用机制，完善教材选用制度。</w:t>
      </w:r>
    </w:p>
    <w:p w14:paraId="48AB1999"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2.图书资料配备要求</w:t>
      </w:r>
    </w:p>
    <w:p w14:paraId="6701E6E9"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图书资料配备应能满足人才培养、专业建设、教科研等工作的需要。专业类图书文献主要包括：文秘行业标准、文秘行业报告、文秘工作案例、文秘类期刊等。及时配置新经济、新技术、新标准、新管理方式、新服务方式等相关的图书资料。</w:t>
      </w:r>
    </w:p>
    <w:p w14:paraId="4F045ACD"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3.数字教学资源配置要求</w:t>
      </w:r>
    </w:p>
    <w:p w14:paraId="751C425C"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推进信息技术与教学有机融合，加快建设智能化教学支持环境，建设能够满足多样化需求的数字资源。建设、配备与本专业有关的音视频素材、教学课件、数字化教学案例库、虚拟仿真软件、数字教材等专业教学资源库，种类丰富、形式多样、使用便捷、动态更新、满足教学。</w:t>
      </w:r>
    </w:p>
    <w:p w14:paraId="582AC618"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（四）教学方法</w:t>
      </w:r>
    </w:p>
    <w:p w14:paraId="7BFE7E87"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1.公共基础课程教学，符合教育部有关教育教学及“三教”改革要求，打造优质课堂，推动课堂革命，调动学生学习积极性，为学生综合素质的提高、职业能力的形成和可持续发展奠定扎实基础。</w:t>
      </w:r>
    </w:p>
    <w:p w14:paraId="6D48EBE3"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专业（技能）课程教学，秉持“信念、健康、知识、能力、素养”五位一体育人理念，以社会主义核心价值观为引领，深化校企合作、产教融合，因材施教，德智体美劳全面推进，服务学生的全面健康持续发展，构建了“分层次培养、职场化育人、持续化发展”专业人才培养模式。</w:t>
      </w:r>
    </w:p>
    <w:p w14:paraId="218E649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（1）因材施教，分层分类培养。以职业岗位需求和人的全</w:t>
      </w:r>
      <w:r>
        <w:rPr>
          <w:rFonts w:ascii="仿宋" w:eastAsia="仿宋" w:hAnsi="仿宋" w:hint="eastAsia"/>
          <w:sz w:val="32"/>
          <w:szCs w:val="32"/>
        </w:rPr>
        <w:lastRenderedPageBreak/>
        <w:t>面发展为导向、以建设职场化育人环境为基础、以实施职场化教学为核心、以满足学生多元化发展需求为目的，按照中职、三二连读高职、3+4中职本科贯通培养三个办学层次，制定不同人才培养方案，分层次培养。兼顾就业、升学两个方向办学，既为当地经济社会发展培养建设者和技术技能人才，又为高职院校、应用型本科院校提供优质生源。</w:t>
      </w:r>
    </w:p>
    <w:p w14:paraId="6EB4E750"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2）构建校企协同育人共同体，实现职场化育人。依托佳和兴代理记账公司等企业，开展现代学徒制培养，实施校企双主体育人，提升学生专业实践能力。利用企业现实的职场环境和资源，按照职场要求，校企共同研究制定以职业素质为基础，以职业能力为核心，以职业技能为重点的人才培养方案，及时将新技术、新工艺、新规范纳入教学标准和教学内容，强化学生实习实训。提高毕业生面向当地中小企业中的收银、出纳、会计记账、成本核算、会计电算化及会计主管、金融理财、银行储蓄、保险推销、保险理赔、纳税申报、资产评估、办公文秘等岗位就业的适应能力。</w:t>
      </w:r>
    </w:p>
    <w:p w14:paraId="2D1AE3B2"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3）实施职业技能等级考证培训式人才培养。全面推行1+X证书制度试点，推进“书证融通”教学改革。联合中教畅享、浙江衡信教育科技有限公司、中联集团科技教育有限公司、北京东大正保公司等社会培训评价组织或第三方机构研制开发专业相关职业技能等级标准，推动专业教学标准和职业技能等级标准有效对接，优化课程设置和教学内容，将职业技能等级标准转化为教学模块纳入专业群课程教学内容，融入专业人才培养方案，构建“课证融通”的课程标准，培养</w:t>
      </w:r>
      <w:r>
        <w:rPr>
          <w:rFonts w:ascii="仿宋" w:eastAsia="仿宋" w:hAnsi="仿宋" w:hint="eastAsia"/>
          <w:sz w:val="32"/>
          <w:szCs w:val="32"/>
        </w:rPr>
        <w:lastRenderedPageBreak/>
        <w:t>高水平的技术技能人才，拓展就业渠道，增加就业机会。学生技能等级证书考取率不低于95%。</w:t>
      </w:r>
    </w:p>
    <w:p w14:paraId="7B9DF269" w14:textId="77777777" w:rsidR="00000000" w:rsidRDefault="00000000">
      <w:pPr>
        <w:spacing w:line="580" w:lineRule="exact"/>
        <w:rPr>
          <w:rFonts w:ascii="仿宋" w:eastAsia="仿宋" w:hAnsi="仿宋" w:hint="eastAsia"/>
          <w:sz w:val="32"/>
          <w:szCs w:val="32"/>
        </w:rPr>
      </w:pPr>
      <w:r>
        <w:rPr>
          <w:rFonts w:ascii="仿宋" w:eastAsia="仿宋" w:hAnsi="仿宋" w:hint="eastAsia"/>
          <w:sz w:val="32"/>
          <w:szCs w:val="32"/>
        </w:rPr>
        <w:t>（4）助力学生升学，促进学生可持续发展。充分利用国家中高职与应用型本科上下贯通政策，助力学生通过职教高考和专升本继续升学深造，实现可持续化发展育人。根据学生实际情况开设职教高考、专升本课程，选用考试教材，优化教学内容，配备经验丰富的师资团队为具备继续深造能力的学生提供切实有力的服务。要坚持校企合作、工学结合的人才培养模式，利用校内外实训基地，按照相应职业岗位（群）的能力要求，强化理论实践一体化，突出“做中学、做中教”的职业教育教学特色。普及项目教学、案例教学、情境教学、模块化教学等教学方式，广泛运用启发式、探究式、讨论式、参与式等教学方法，推广翻转课堂、混合式教学、理实一体教学等新型教学模式；将学生的自主学习、合作学习和教师引导教学有机结合，优化教学过程，提升学习效率。</w:t>
      </w:r>
    </w:p>
    <w:p w14:paraId="7569A2AC" w14:textId="77777777" w:rsidR="00000000" w:rsidRDefault="00000000">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（五）学习评价</w:t>
      </w:r>
    </w:p>
    <w:p w14:paraId="70929C7D" w14:textId="77777777" w:rsidR="00000000"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改革传统的学生评价手段和方法。每一任务结束采用阶段评价、每一项目结束采用产品结果进行评价，本课程结合职业资格证书的要求采用理论与实践一体化评价模式。应注重学生动手能力和实践中分析问题、解决问题能力的考核，对在学习和应用上有创新的学生应予特别鼓励，全面综合评价学生能力，发展学生心智。</w:t>
      </w:r>
    </w:p>
    <w:p w14:paraId="438A58ED" w14:textId="77777777" w:rsidR="00000000" w:rsidRDefault="00000000">
      <w:pPr>
        <w:ind w:firstLine="4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1、教学评价采用理论＋技能、课堂＋平时的考核方式，</w:t>
      </w:r>
      <w:r>
        <w:rPr>
          <w:rFonts w:ascii="仿宋_GB2312" w:eastAsia="仿宋_GB2312" w:hAnsi="仿宋_GB2312" w:cs="仿宋_GB2312" w:hint="eastAsia"/>
          <w:sz w:val="32"/>
          <w:szCs w:val="32"/>
        </w:rPr>
        <w:lastRenderedPageBreak/>
        <w:t>作业＋实习报告＋课堂表现占20%; 期末考试占30%; 技能操作占50%.</w:t>
      </w:r>
    </w:p>
    <w:p w14:paraId="2D825D22" w14:textId="77777777" w:rsidR="00000000" w:rsidRDefault="00000000">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2、考核内容：核心理论知识，专业技能</w:t>
      </w:r>
    </w:p>
    <w:p w14:paraId="7D3B9D71" w14:textId="77777777" w:rsidR="00000000" w:rsidRDefault="00000000">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3、考核方式：笔试（闭卷）， 技能考察。</w:t>
      </w:r>
    </w:p>
    <w:p w14:paraId="7313EBD0" w14:textId="77777777" w:rsidR="00000000" w:rsidRDefault="00000000">
      <w:pPr>
        <w:spacing w:line="580" w:lineRule="exact"/>
        <w:ind w:firstLineChars="200" w:firstLine="640"/>
        <w:rPr>
          <w:rFonts w:ascii="仿宋_GB2312" w:eastAsia="仿宋_GB2312" w:hAnsi="宋体" w:hint="eastAsia"/>
          <w:bCs/>
          <w:sz w:val="28"/>
          <w:szCs w:val="28"/>
        </w:rPr>
      </w:pPr>
      <w:r>
        <w:rPr>
          <w:rFonts w:ascii="仿宋_GB2312" w:eastAsia="仿宋_GB2312" w:hAnsi="宋体" w:hint="eastAsia"/>
          <w:bCs/>
          <w:sz w:val="32"/>
          <w:szCs w:val="32"/>
        </w:rPr>
        <w:t>（六）质量管理</w:t>
      </w:r>
    </w:p>
    <w:p w14:paraId="5E4A7CD4" w14:textId="77777777" w:rsidR="00000000" w:rsidRDefault="00000000">
      <w:pPr>
        <w:spacing w:line="460" w:lineRule="atLeas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质量管理是为有效管理护理教学，提高护理教育质量而制定的一系列规章制度。护理教学的管理是保证教学质量的重要手段，能够规范教学行为，提高教学效果，帮助学生全面发展。本制度旨在规范护理教学管理行为，确保教学工作安全、有序、高效地进行。</w:t>
      </w:r>
    </w:p>
    <w:p w14:paraId="6AA3AB01" w14:textId="77777777" w:rsidR="00000000" w:rsidRDefault="00000000">
      <w:pPr>
        <w:spacing w:line="460" w:lineRule="atLeast"/>
        <w:ind w:firstLineChars="200" w:firstLine="640"/>
        <w:rPr>
          <w:rFonts w:ascii="仿宋_GB2312" w:eastAsia="仿宋_GB2312" w:hAnsi="宋体"/>
          <w:bCs/>
          <w:sz w:val="32"/>
          <w:szCs w:val="32"/>
        </w:rPr>
      </w:pPr>
      <w:r>
        <w:rPr>
          <w:rFonts w:ascii="仿宋_GB2312" w:eastAsia="仿宋_GB2312" w:hAnsi="宋体" w:hint="eastAsia"/>
          <w:bCs/>
          <w:sz w:val="32"/>
          <w:szCs w:val="32"/>
        </w:rPr>
        <w:t>1.教学质量管理</w:t>
      </w:r>
    </w:p>
    <w:p w14:paraId="23E424F9"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（1）教学目标的确定：明确教学目标，使学生明确学习的目的和课程结果。</w:t>
      </w:r>
    </w:p>
    <w:p w14:paraId="026B359C"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（2）讲课计划的制定：根据教学目标，制定详细的讲课计划，包括教学内容、教学方法、教学时间等。</w:t>
      </w:r>
    </w:p>
    <w:p w14:paraId="65F44A48"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（3）教学评估：及时评估学生的学习情况，对学生的学习成果进行量化评价，为学生提供有针对性的反馈和指导。</w:t>
      </w:r>
    </w:p>
    <w:p w14:paraId="67D2973B"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（4）教学质量监控：通过教学观察、听课评估等方式对教学质量进行监控，及时发现问题并解决。</w:t>
      </w:r>
    </w:p>
    <w:p w14:paraId="15009292" w14:textId="77777777" w:rsidR="00000000" w:rsidRDefault="00000000">
      <w:pPr>
        <w:spacing w:line="460" w:lineRule="atLeast"/>
        <w:ind w:firstLineChars="200" w:firstLine="640"/>
        <w:rPr>
          <w:rFonts w:ascii="仿宋_GB2312" w:eastAsia="仿宋_GB2312" w:hAnsi="宋体" w:hint="eastAsia"/>
          <w:bCs/>
          <w:sz w:val="32"/>
          <w:szCs w:val="32"/>
        </w:rPr>
      </w:pPr>
      <w:r>
        <w:rPr>
          <w:rFonts w:ascii="仿宋_GB2312" w:eastAsia="仿宋_GB2312" w:hAnsi="宋体" w:hint="eastAsia"/>
          <w:bCs/>
          <w:sz w:val="32"/>
          <w:szCs w:val="32"/>
        </w:rPr>
        <w:t>2.教师管理</w:t>
      </w:r>
    </w:p>
    <w:p w14:paraId="5203A03D"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（1）教师招聘：依据岗位需求，经过公开考试、面试等程序招聘优秀教师。</w:t>
      </w:r>
    </w:p>
    <w:p w14:paraId="70271CA6"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lastRenderedPageBreak/>
        <w:t>（2）教师培训：定期开展教师培训，提高教师的教学水平。</w:t>
      </w:r>
    </w:p>
    <w:p w14:paraId="2782FA00" w14:textId="77777777" w:rsidR="00000000" w:rsidRDefault="00000000">
      <w:pPr>
        <w:spacing w:line="460" w:lineRule="atLeast"/>
        <w:ind w:firstLineChars="100" w:firstLine="320"/>
        <w:rPr>
          <w:rFonts w:ascii="仿宋_GB2312" w:eastAsia="仿宋_GB2312" w:hAnsi="宋体" w:hint="eastAsia"/>
          <w:bCs/>
          <w:sz w:val="32"/>
          <w:szCs w:val="32"/>
        </w:rPr>
      </w:pPr>
      <w:r>
        <w:rPr>
          <w:rFonts w:ascii="仿宋_GB2312" w:eastAsia="仿宋_GB2312" w:hAnsi="宋体" w:hint="eastAsia"/>
          <w:bCs/>
          <w:sz w:val="32"/>
          <w:szCs w:val="32"/>
        </w:rPr>
        <w:t>（3）教师考核：每学期对教师的教学情况进行考核评估，评估结果作为教师绩效评价的重要指标。</w:t>
      </w:r>
    </w:p>
    <w:p w14:paraId="66BDA8D7" w14:textId="77777777" w:rsidR="00000000" w:rsidRDefault="00000000">
      <w:pPr>
        <w:spacing w:line="580" w:lineRule="exact"/>
        <w:jc w:val="left"/>
        <w:rPr>
          <w:rFonts w:ascii="仿宋_GB2312" w:eastAsia="仿宋_GB2312" w:hAnsi="宋体"/>
          <w:bCs/>
          <w:sz w:val="28"/>
          <w:szCs w:val="28"/>
        </w:rPr>
      </w:pPr>
      <w:r>
        <w:rPr>
          <w:rFonts w:ascii="黑体" w:eastAsia="黑体" w:hAnsi="黑体" w:hint="eastAsia"/>
          <w:sz w:val="32"/>
          <w:szCs w:val="32"/>
        </w:rPr>
        <w:t>九、毕业要求</w:t>
      </w:r>
    </w:p>
    <w:p w14:paraId="15032DF4" w14:textId="77777777" w:rsidR="00000000" w:rsidRDefault="00000000">
      <w:pPr>
        <w:spacing w:line="460" w:lineRule="atLeast"/>
        <w:ind w:firstLineChars="200" w:firstLine="640"/>
        <w:rPr>
          <w:rFonts w:ascii="仿宋_GB2312" w:eastAsia="仿宋_GB2312" w:hAnsi="宋体"/>
          <w:bCs/>
          <w:sz w:val="32"/>
          <w:szCs w:val="32"/>
        </w:rPr>
        <w:sectPr w:rsidR="00000000">
          <w:footerReference w:type="default" r:id="rId10"/>
          <w:pgSz w:w="11906" w:h="16838"/>
          <w:pgMar w:top="1440" w:right="1800" w:bottom="1440" w:left="1800" w:header="851" w:footer="992" w:gutter="0"/>
          <w:pgNumType w:start="1"/>
          <w:cols w:space="720"/>
          <w:docGrid w:type="lines" w:linePitch="312"/>
        </w:sectPr>
      </w:pPr>
      <w:r>
        <w:rPr>
          <w:rFonts w:ascii="仿宋_GB2312" w:eastAsia="仿宋_GB2312" w:hAnsi="宋体" w:hint="eastAsia"/>
          <w:bCs/>
          <w:sz w:val="32"/>
          <w:szCs w:val="32"/>
        </w:rPr>
        <w:t>毕业要求是学生通过规定年限的学习，须修满的专业人才培养方案所规定的学时学分，完成规律的教学活动，毕业时应达到的素质、知识和能力等方面要求。毕业要求应能支撑培养目标的有效达成。</w:t>
      </w:r>
    </w:p>
    <w:p w14:paraId="3606A80F" w14:textId="77777777" w:rsidR="00000000" w:rsidRDefault="00000000">
      <w:pPr>
        <w:spacing w:line="580" w:lineRule="exact"/>
        <w:jc w:val="left"/>
        <w:rPr>
          <w:rFonts w:ascii="黑体" w:eastAsia="黑体" w:hAnsi="黑体"/>
          <w:sz w:val="32"/>
          <w:szCs w:val="32"/>
        </w:rPr>
      </w:pPr>
      <w:r>
        <w:rPr>
          <w:rFonts w:ascii="黑体" w:eastAsia="黑体" w:hAnsi="黑体" w:hint="eastAsia"/>
          <w:sz w:val="32"/>
          <w:szCs w:val="32"/>
        </w:rPr>
        <w:lastRenderedPageBreak/>
        <w:t>十、附录</w:t>
      </w:r>
    </w:p>
    <w:p w14:paraId="386A06B1" w14:textId="77777777" w:rsidR="00000000" w:rsidRDefault="00000000">
      <w:pPr>
        <w:spacing w:line="580" w:lineRule="exact"/>
        <w:jc w:val="center"/>
        <w:rPr>
          <w:rFonts w:ascii="黑体" w:eastAsia="黑体" w:hAnsi="黑体"/>
          <w:sz w:val="32"/>
          <w:szCs w:val="32"/>
        </w:rPr>
      </w:pPr>
      <w:r>
        <w:rPr>
          <w:rFonts w:ascii="黑体" w:eastAsia="黑体" w:hAnsi="黑体" w:hint="eastAsia"/>
          <w:sz w:val="32"/>
          <w:szCs w:val="32"/>
        </w:rPr>
        <w:t>专业主干课程标准</w:t>
      </w:r>
    </w:p>
    <w:p w14:paraId="568F7377" w14:textId="77777777" w:rsidR="00000000" w:rsidRDefault="00000000">
      <w:pPr>
        <w:snapToGrid w:val="0"/>
        <w:spacing w:beforeLines="50" w:before="156" w:afterLines="50" w:after="156" w:line="460" w:lineRule="atLeast"/>
        <w:jc w:val="center"/>
        <w:rPr>
          <w:rFonts w:ascii="仿宋_GB2312" w:eastAsia="仿宋_GB2312"/>
          <w:b/>
          <w:bCs/>
        </w:rPr>
      </w:pPr>
      <w:r>
        <w:rPr>
          <w:rFonts w:ascii="仿宋_GB2312" w:eastAsia="仿宋_GB2312" w:hAnsi="宋体" w:cs="宋体" w:hint="eastAsia"/>
          <w:b/>
          <w:bCs/>
          <w:kern w:val="0"/>
          <w:sz w:val="44"/>
          <w:szCs w:val="44"/>
        </w:rPr>
        <w:t>《医学基础》课程标准</w:t>
      </w:r>
    </w:p>
    <w:p w14:paraId="584D7ACA" w14:textId="77777777" w:rsidR="00000000" w:rsidRDefault="00000000">
      <w:pPr>
        <w:spacing w:line="460" w:lineRule="atLeast"/>
        <w:ind w:firstLineChars="200" w:firstLine="482"/>
        <w:rPr>
          <w:rFonts w:ascii="宋体"/>
          <w:b/>
          <w:color w:val="080808"/>
          <w:sz w:val="24"/>
        </w:rPr>
      </w:pPr>
      <w:r>
        <w:rPr>
          <w:rFonts w:ascii="宋体" w:hAnsi="宋体" w:hint="eastAsia"/>
          <w:b/>
          <w:color w:val="080808"/>
          <w:sz w:val="24"/>
        </w:rPr>
        <w:t>一、概</w:t>
      </w:r>
      <w:r>
        <w:rPr>
          <w:rFonts w:ascii="宋体" w:hAnsi="宋体"/>
          <w:b/>
          <w:color w:val="080808"/>
          <w:sz w:val="24"/>
        </w:rPr>
        <w:t xml:space="preserve"> </w:t>
      </w:r>
      <w:r>
        <w:rPr>
          <w:rFonts w:ascii="宋体" w:hAnsi="宋体" w:hint="eastAsia"/>
          <w:b/>
          <w:color w:val="080808"/>
          <w:sz w:val="24"/>
        </w:rPr>
        <w:t>述</w:t>
      </w:r>
    </w:p>
    <w:p w14:paraId="2F6C7A1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（一）课程的性质</w:t>
      </w:r>
    </w:p>
    <w:p w14:paraId="6F939A1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本课程是我校老年人服务与管理专业学生的一门必修课程，它是研究正常人体的组成、代谢、功能和在病理状态下人体的形态结构和供能变化及其机制的一门综合性学科。包括传统课程中的生物化学、遗传学、病理学及病理生理学等内容。为学生进一步学习其他课程和职业技能，提高全面素质、增强适应职业变化的能力，更好地从事老年人服务工作打下一定的基础</w:t>
      </w:r>
    </w:p>
    <w:p w14:paraId="0C8C56B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（二）课程基本理念</w:t>
      </w:r>
    </w:p>
    <w:p w14:paraId="7EE7F1B6"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结合我校各专业人才培养方案中的有关要求，面对学生的特点，在教学过程中应因材施教，科学设计教学内容及教学过程，制定适合我院各专业学生特点的教学方案，保证教学质量，为学生们在医学基础学科与药品检验间架起起一座扎实的桥梁。</w:t>
      </w:r>
    </w:p>
    <w:p w14:paraId="2330D2A6"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理论与实践相结合</w:t>
      </w:r>
    </w:p>
    <w:p w14:paraId="230DE3C7"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是研究正常人体的组成、代谢、功能各个医学基础课程的总结，为了加强学员对于理论知识的理解和记忆，在理论授课过程中要尽量联系具体疾病和临床常见病例，有助于感性认识与理性认识的统一。同时解剖学侧重模型与真人的联系，病理教学中要充分利用大体标本观察、组织切片观察，在联系病例中讲活知识，使学生们学</w:t>
      </w:r>
      <w:r>
        <w:rPr>
          <w:rFonts w:ascii="仿宋_GB2312" w:eastAsia="仿宋_GB2312" w:hint="eastAsia"/>
          <w:sz w:val="28"/>
          <w:szCs w:val="28"/>
        </w:rPr>
        <w:lastRenderedPageBreak/>
        <w:t>活知识，加深学生们对于基础知识的理解与掌握。把以前的理论课、实验课、讨论课、病例分析教学等各个教学环节融为一体，运用理实一体新的教学模式，在注意发挥教师在教学中主导作用的同时，应特别注意体现学生的学习主体地位，培养学生的自主学习能力，运用点拨、启发、提问、引导等方法，通过学员自学、小组讨论、学生自己讲课等活动，使学员的思维充分活跃和调动起来。在理实一体实验教学环节中，要突出培养学员独立观察、发现问题、分析问题、解决问题的能力，让学员在独立观察标本和切片时，学会理论联系实际，分析临床疾病的发展规律。</w:t>
      </w:r>
    </w:p>
    <w:p w14:paraId="66E808F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形态、功能与代谢相结合</w:t>
      </w:r>
    </w:p>
    <w:p w14:paraId="6EAD6E2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疾病过程中机体发生形态结构、功能和代谢三方面的改变。代谢的改变是功能和形态改变的基础，功能改变往往又可导致形态改变，形态改变必然影响功能和代谢改变。如风湿性心脏病患者，由于二尖瓣狭窄和关闭不全，导致全身血流动力学改变，引起组织器官缺氧和代谢紊乱等。可见疾病过程中机体形态、功能和代谢变化之间互相联系，互相影响，互为因果。病理学在侧重介绍形态学改变的同时，要联系代谢的改变，更好地理解功能的改变。</w:t>
      </w:r>
    </w:p>
    <w:p w14:paraId="0E67E0B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传统与现代相结合</w:t>
      </w:r>
      <w:r>
        <w:rPr>
          <w:rFonts w:ascii="仿宋_GB2312" w:eastAsia="仿宋_GB2312"/>
          <w:sz w:val="28"/>
          <w:szCs w:val="28"/>
        </w:rPr>
        <w:t xml:space="preserve">   </w:t>
      </w:r>
    </w:p>
    <w:p w14:paraId="42252480"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是一门典型的形态学学科，现在的病理学教学已不单纯的局限于课堂纯靠语言对于形态学特点的描述，各种现代媒体的介入，如各种图片库、病例库、尸检资料库，提供了广泛的学习素材来源，为学员学习提供了极大的便利，也为教师的授课提供了丰富多彩</w:t>
      </w:r>
      <w:r>
        <w:rPr>
          <w:rFonts w:ascii="仿宋_GB2312" w:eastAsia="仿宋_GB2312" w:hint="eastAsia"/>
          <w:sz w:val="28"/>
          <w:szCs w:val="28"/>
        </w:rPr>
        <w:lastRenderedPageBreak/>
        <w:t>的方式，因此在医学基础学教学中，充分利用此优势，将传统的教学模式与现代的教学方法相结合，充分利用投影仪、多媒体课件、互联网、电视录像等现代媒体教学手段，发挥信息化教学的特点和优势，增强学员的学习兴趣，进一步强化学员的知识与实践操作技能，开扩视野，培养科学的思维方式。</w:t>
      </w:r>
    </w:p>
    <w:p w14:paraId="25F60FA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（三）课程设计思路</w:t>
      </w:r>
      <w:r>
        <w:rPr>
          <w:rFonts w:ascii="仿宋_GB2312" w:eastAsia="仿宋_GB2312"/>
          <w:sz w:val="28"/>
          <w:szCs w:val="28"/>
        </w:rPr>
        <w:t xml:space="preserve"> </w:t>
      </w:r>
    </w:p>
    <w:p w14:paraId="6BC43D2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 xml:space="preserve">  1.</w:t>
      </w:r>
      <w:r>
        <w:rPr>
          <w:rFonts w:ascii="仿宋_GB2312" w:eastAsia="仿宋_GB2312" w:hint="eastAsia"/>
          <w:sz w:val="28"/>
          <w:szCs w:val="28"/>
        </w:rPr>
        <w:t>框架设计与内容安排</w:t>
      </w:r>
    </w:p>
    <w:p w14:paraId="626A20A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运用理论课和实验课相结合一体化的形式。理论课的安排是先学习总论，从总体上把握人体正常以及病理的规律，掌握疾病的基本病变及相关的基本知识；再学习各系统常见疾病及多发疾病的特殊规律，用总论的基本规律掌握各系统代表性和重要疾病的特性。实验课与理论课并进，每学习完一章节理论，跟进相应的实验内容，使学员通过观察大体标本、组织切片、代表性图片、讨论典型病例等形式，在巩固及加深理论知识的同时，牢固掌握基本病变和特征性病变的变化规律，为后续临床课程的学习打下坚实的基础。</w:t>
      </w:r>
    </w:p>
    <w:p w14:paraId="1C73CF0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教学实施</w:t>
      </w:r>
    </w:p>
    <w:p w14:paraId="21DA455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加强教学的各个环节，保证教学质量。认真对待每次课程和每个教学环节，对每次理论课程、实验课程的重点、难点内容在教研室进行分析、讨论。充分利用教研室丰富的教学资源，如标本、切片、视听教材、网络资源等，激发学员学习的兴趣、调动学员学习的主观能动性，加深对病理学知识的理解。在充分理解课程标准的基础上，在教研室内定期组织集体备课、轮流听课、换班讲课等方式不断提高和</w:t>
      </w:r>
      <w:r>
        <w:rPr>
          <w:rFonts w:ascii="仿宋_GB2312" w:eastAsia="仿宋_GB2312" w:hint="eastAsia"/>
          <w:sz w:val="28"/>
          <w:szCs w:val="28"/>
        </w:rPr>
        <w:lastRenderedPageBreak/>
        <w:t>改进教学方法，提高授课质量，提高学员学习效果。</w:t>
      </w:r>
    </w:p>
    <w:p w14:paraId="4DA3EA5C"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教学内容</w:t>
      </w:r>
    </w:p>
    <w:p w14:paraId="2462A2A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《医学基础》为人体内科学、外科学、老年人病学三个部分组成，《医学基础》课程在第二学期开出，药品检验专业总学时为</w:t>
      </w:r>
      <w:r>
        <w:rPr>
          <w:rFonts w:ascii="仿宋_GB2312" w:eastAsia="仿宋_GB2312"/>
          <w:sz w:val="28"/>
          <w:szCs w:val="28"/>
        </w:rPr>
        <w:t>90</w:t>
      </w:r>
      <w:r>
        <w:rPr>
          <w:rFonts w:ascii="仿宋_GB2312" w:eastAsia="仿宋_GB2312" w:hint="eastAsia"/>
          <w:sz w:val="28"/>
          <w:szCs w:val="28"/>
        </w:rPr>
        <w:t>学时，其中理论教学</w:t>
      </w:r>
      <w:r>
        <w:rPr>
          <w:rFonts w:ascii="仿宋_GB2312" w:eastAsia="仿宋_GB2312"/>
          <w:sz w:val="28"/>
          <w:szCs w:val="28"/>
        </w:rPr>
        <w:t>66</w:t>
      </w:r>
      <w:r>
        <w:rPr>
          <w:rFonts w:ascii="仿宋_GB2312" w:eastAsia="仿宋_GB2312" w:hint="eastAsia"/>
          <w:sz w:val="28"/>
          <w:szCs w:val="28"/>
        </w:rPr>
        <w:t>学时，实验教学</w:t>
      </w:r>
      <w:r>
        <w:rPr>
          <w:rFonts w:ascii="仿宋_GB2312" w:eastAsia="仿宋_GB2312"/>
          <w:sz w:val="28"/>
          <w:szCs w:val="28"/>
        </w:rPr>
        <w:t>24</w:t>
      </w:r>
      <w:r>
        <w:rPr>
          <w:rFonts w:ascii="仿宋_GB2312" w:eastAsia="仿宋_GB2312" w:hint="eastAsia"/>
          <w:sz w:val="28"/>
          <w:szCs w:val="28"/>
        </w:rPr>
        <w:t>学时。学时分配如下表所示：</w:t>
      </w:r>
    </w:p>
    <w:p w14:paraId="7706318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教学内容与课时分配</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1"/>
        <w:gridCol w:w="3519"/>
        <w:gridCol w:w="1271"/>
        <w:gridCol w:w="1010"/>
        <w:gridCol w:w="1216"/>
      </w:tblGrid>
      <w:tr w:rsidR="00000000" w14:paraId="4B27D616" w14:textId="77777777">
        <w:trPr>
          <w:cantSplit/>
          <w:trHeight w:val="462"/>
          <w:tblHeader/>
        </w:trPr>
        <w:tc>
          <w:tcPr>
            <w:tcW w:w="2101" w:type="dxa"/>
            <w:vMerge w:val="restart"/>
            <w:vAlign w:val="center"/>
          </w:tcPr>
          <w:p w14:paraId="43A74B4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课程内容（章序）</w:t>
            </w:r>
          </w:p>
        </w:tc>
        <w:tc>
          <w:tcPr>
            <w:tcW w:w="3519" w:type="dxa"/>
            <w:vMerge w:val="restart"/>
            <w:vAlign w:val="center"/>
          </w:tcPr>
          <w:p w14:paraId="0400D6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3497" w:type="dxa"/>
            <w:gridSpan w:val="3"/>
            <w:vAlign w:val="center"/>
          </w:tcPr>
          <w:p w14:paraId="2F437D3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学时分配</w:t>
            </w:r>
          </w:p>
        </w:tc>
      </w:tr>
      <w:tr w:rsidR="00000000" w14:paraId="5F3E404E" w14:textId="77777777">
        <w:trPr>
          <w:cantSplit/>
          <w:trHeight w:val="395"/>
          <w:tblHeader/>
        </w:trPr>
        <w:tc>
          <w:tcPr>
            <w:tcW w:w="2101" w:type="dxa"/>
            <w:vMerge/>
            <w:vAlign w:val="center"/>
          </w:tcPr>
          <w:p w14:paraId="524CF6C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519" w:type="dxa"/>
            <w:vMerge/>
            <w:vAlign w:val="center"/>
          </w:tcPr>
          <w:p w14:paraId="6DA4735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71" w:type="dxa"/>
            <w:vAlign w:val="center"/>
          </w:tcPr>
          <w:p w14:paraId="58E9567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1010" w:type="dxa"/>
            <w:vAlign w:val="center"/>
          </w:tcPr>
          <w:p w14:paraId="0AA65A3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tc>
        <w:tc>
          <w:tcPr>
            <w:tcW w:w="1216" w:type="dxa"/>
            <w:vAlign w:val="center"/>
          </w:tcPr>
          <w:p w14:paraId="2ADF9A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小计</w:t>
            </w:r>
          </w:p>
        </w:tc>
      </w:tr>
      <w:tr w:rsidR="00000000" w14:paraId="0E5BF935" w14:textId="77777777">
        <w:trPr>
          <w:trHeight w:val="478"/>
          <w:tblHeader/>
        </w:trPr>
        <w:tc>
          <w:tcPr>
            <w:tcW w:w="2101" w:type="dxa"/>
            <w:vAlign w:val="center"/>
          </w:tcPr>
          <w:p w14:paraId="7235DF8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519" w:type="dxa"/>
            <w:vAlign w:val="center"/>
          </w:tcPr>
          <w:p w14:paraId="17CD2D2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绪论</w:t>
            </w:r>
          </w:p>
        </w:tc>
        <w:tc>
          <w:tcPr>
            <w:tcW w:w="1271" w:type="dxa"/>
            <w:vAlign w:val="center"/>
          </w:tcPr>
          <w:p w14:paraId="354A661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010" w:type="dxa"/>
            <w:vAlign w:val="center"/>
          </w:tcPr>
          <w:p w14:paraId="023C802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6" w:type="dxa"/>
            <w:vAlign w:val="center"/>
          </w:tcPr>
          <w:p w14:paraId="660CA67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73F92C41" w14:textId="77777777">
        <w:trPr>
          <w:trHeight w:val="478"/>
          <w:tblHeader/>
        </w:trPr>
        <w:tc>
          <w:tcPr>
            <w:tcW w:w="2101" w:type="dxa"/>
            <w:vAlign w:val="center"/>
          </w:tcPr>
          <w:p w14:paraId="7974310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第一章</w:t>
            </w:r>
          </w:p>
          <w:p w14:paraId="7989E46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人体基本结构</w:t>
            </w:r>
          </w:p>
        </w:tc>
        <w:tc>
          <w:tcPr>
            <w:tcW w:w="3519" w:type="dxa"/>
            <w:vAlign w:val="center"/>
          </w:tcPr>
          <w:p w14:paraId="3A0B73C5" w14:textId="77777777" w:rsidR="00000000" w:rsidRDefault="00000000">
            <w:pPr>
              <w:numPr>
                <w:ilvl w:val="0"/>
                <w:numId w:val="4"/>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组成人体的基本单位</w:t>
            </w:r>
          </w:p>
          <w:p w14:paraId="64652342" w14:textId="77777777" w:rsidR="00000000" w:rsidRDefault="00000000">
            <w:pPr>
              <w:numPr>
                <w:ilvl w:val="0"/>
                <w:numId w:val="4"/>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组成人体的基本组织</w:t>
            </w:r>
          </w:p>
        </w:tc>
        <w:tc>
          <w:tcPr>
            <w:tcW w:w="1271" w:type="dxa"/>
            <w:vAlign w:val="center"/>
          </w:tcPr>
          <w:p w14:paraId="17067AE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010" w:type="dxa"/>
            <w:vAlign w:val="center"/>
          </w:tcPr>
          <w:p w14:paraId="6EA51D1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216" w:type="dxa"/>
            <w:vAlign w:val="center"/>
          </w:tcPr>
          <w:p w14:paraId="4F5B13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1E0C3A24" w14:textId="77777777">
        <w:trPr>
          <w:trHeight w:val="478"/>
          <w:tblHeader/>
        </w:trPr>
        <w:tc>
          <w:tcPr>
            <w:tcW w:w="2101" w:type="dxa"/>
            <w:vAlign w:val="center"/>
          </w:tcPr>
          <w:p w14:paraId="3923A8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第二章</w:t>
            </w:r>
          </w:p>
          <w:p w14:paraId="281595D9" w14:textId="77777777" w:rsidR="00000000" w:rsidRDefault="00000000">
            <w:pPr>
              <w:autoSpaceDE w:val="0"/>
              <w:autoSpaceDN w:val="0"/>
              <w:spacing w:line="460" w:lineRule="atLeast"/>
              <w:ind w:firstLineChars="100" w:firstLine="21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内科学概况</w:t>
            </w:r>
          </w:p>
        </w:tc>
        <w:tc>
          <w:tcPr>
            <w:tcW w:w="3519" w:type="dxa"/>
            <w:vAlign w:val="center"/>
          </w:tcPr>
          <w:p w14:paraId="5F226D50"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内科总论</w:t>
            </w:r>
          </w:p>
          <w:p w14:paraId="46C87AD7"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呼吸系统疾病</w:t>
            </w:r>
          </w:p>
          <w:p w14:paraId="141D6FB6"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循环系统疾病</w:t>
            </w:r>
          </w:p>
          <w:p w14:paraId="48535848"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消化系统疾病</w:t>
            </w:r>
          </w:p>
          <w:p w14:paraId="406EA0B7"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泌尿系统疾病</w:t>
            </w:r>
          </w:p>
          <w:p w14:paraId="6F186F29"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血液系统疾病</w:t>
            </w:r>
          </w:p>
          <w:p w14:paraId="176D5A34"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内分泌代谢疾病</w:t>
            </w:r>
          </w:p>
          <w:p w14:paraId="592A3C5B"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风湿性疾病</w:t>
            </w:r>
          </w:p>
          <w:p w14:paraId="445A4321"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神经系统疾病</w:t>
            </w:r>
          </w:p>
          <w:p w14:paraId="55CE1B2F" w14:textId="77777777" w:rsidR="00000000" w:rsidRDefault="00000000">
            <w:pPr>
              <w:numPr>
                <w:ilvl w:val="0"/>
                <w:numId w:val="5"/>
              </w:numPr>
              <w:tabs>
                <w:tab w:val="left" w:pos="780"/>
              </w:tabs>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精神疾病</w:t>
            </w:r>
          </w:p>
        </w:tc>
        <w:tc>
          <w:tcPr>
            <w:tcW w:w="1271" w:type="dxa"/>
            <w:vAlign w:val="center"/>
          </w:tcPr>
          <w:p w14:paraId="5EF5BDE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24</w:t>
            </w:r>
          </w:p>
        </w:tc>
        <w:tc>
          <w:tcPr>
            <w:tcW w:w="1010" w:type="dxa"/>
            <w:vAlign w:val="center"/>
          </w:tcPr>
          <w:p w14:paraId="1482387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w:t>
            </w:r>
          </w:p>
        </w:tc>
        <w:tc>
          <w:tcPr>
            <w:tcW w:w="1216" w:type="dxa"/>
            <w:vAlign w:val="center"/>
          </w:tcPr>
          <w:p w14:paraId="62BD950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26</w:t>
            </w:r>
          </w:p>
        </w:tc>
      </w:tr>
      <w:tr w:rsidR="00000000" w14:paraId="04C62DD7" w14:textId="77777777">
        <w:trPr>
          <w:trHeight w:val="478"/>
          <w:tblHeader/>
        </w:trPr>
        <w:tc>
          <w:tcPr>
            <w:tcW w:w="2101" w:type="dxa"/>
            <w:vAlign w:val="center"/>
          </w:tcPr>
          <w:p w14:paraId="561F3A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第三章</w:t>
            </w:r>
          </w:p>
          <w:p w14:paraId="07201F3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外科学</w:t>
            </w:r>
          </w:p>
        </w:tc>
        <w:tc>
          <w:tcPr>
            <w:tcW w:w="3519" w:type="dxa"/>
            <w:vAlign w:val="center"/>
          </w:tcPr>
          <w:p w14:paraId="76598EA3"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手术基本知识</w:t>
            </w:r>
          </w:p>
          <w:p w14:paraId="64C1FC5F"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麻醉</w:t>
            </w:r>
          </w:p>
          <w:p w14:paraId="00FBBDC7"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心肺复苏</w:t>
            </w:r>
          </w:p>
          <w:p w14:paraId="54AC3908"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全身支持</w:t>
            </w:r>
          </w:p>
          <w:p w14:paraId="6E14DB85"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休克</w:t>
            </w:r>
          </w:p>
          <w:p w14:paraId="31366D09"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急性器官功能衰竭</w:t>
            </w:r>
          </w:p>
          <w:p w14:paraId="1001C585"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损伤</w:t>
            </w:r>
          </w:p>
          <w:p w14:paraId="2F032B3A"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外科感染</w:t>
            </w:r>
          </w:p>
          <w:p w14:paraId="279E147B"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肿瘤</w:t>
            </w:r>
          </w:p>
          <w:p w14:paraId="7684864D"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颅脑疾病</w:t>
            </w:r>
          </w:p>
          <w:p w14:paraId="55212D16"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颈部疾病</w:t>
            </w:r>
          </w:p>
          <w:p w14:paraId="74CB7B3B"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胸部疾病</w:t>
            </w:r>
          </w:p>
          <w:p w14:paraId="3D438942" w14:textId="77777777" w:rsidR="00000000" w:rsidRDefault="00000000">
            <w:pPr>
              <w:numPr>
                <w:ilvl w:val="0"/>
                <w:numId w:val="6"/>
              </w:numPr>
              <w:tabs>
                <w:tab w:val="left" w:pos="780"/>
              </w:tabs>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腹部疾病</w:t>
            </w:r>
          </w:p>
          <w:p w14:paraId="62F58882" w14:textId="77777777" w:rsidR="00000000" w:rsidRDefault="00000000">
            <w:pPr>
              <w:autoSpaceDE w:val="0"/>
              <w:autoSpaceDN w:val="0"/>
              <w:spacing w:line="460" w:lineRule="atLeast"/>
              <w:ind w:left="420"/>
              <w:rPr>
                <w:rFonts w:ascii="仿宋_GB2312" w:eastAsia="仿宋_GB2312" w:hAnsi="仿宋_GB2312" w:cs="仿宋_GB2312"/>
                <w:color w:val="000000"/>
                <w:szCs w:val="21"/>
              </w:rPr>
            </w:pPr>
          </w:p>
        </w:tc>
        <w:tc>
          <w:tcPr>
            <w:tcW w:w="1271" w:type="dxa"/>
            <w:vAlign w:val="center"/>
          </w:tcPr>
          <w:p w14:paraId="0082D3C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30</w:t>
            </w:r>
          </w:p>
        </w:tc>
        <w:tc>
          <w:tcPr>
            <w:tcW w:w="1010" w:type="dxa"/>
            <w:vAlign w:val="center"/>
          </w:tcPr>
          <w:p w14:paraId="3602FF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w:t>
            </w:r>
          </w:p>
        </w:tc>
        <w:tc>
          <w:tcPr>
            <w:tcW w:w="1216" w:type="dxa"/>
            <w:vAlign w:val="center"/>
          </w:tcPr>
          <w:p w14:paraId="2C16E1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30</w:t>
            </w:r>
          </w:p>
        </w:tc>
      </w:tr>
      <w:tr w:rsidR="00000000" w14:paraId="74C4FD8A" w14:textId="77777777">
        <w:trPr>
          <w:trHeight w:val="478"/>
          <w:tblHeader/>
        </w:trPr>
        <w:tc>
          <w:tcPr>
            <w:tcW w:w="5620" w:type="dxa"/>
            <w:gridSpan w:val="2"/>
            <w:vAlign w:val="center"/>
          </w:tcPr>
          <w:p w14:paraId="41D9359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计</w:t>
            </w:r>
          </w:p>
        </w:tc>
        <w:tc>
          <w:tcPr>
            <w:tcW w:w="1271" w:type="dxa"/>
            <w:vAlign w:val="center"/>
          </w:tcPr>
          <w:p w14:paraId="44E9F3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58</w:t>
            </w:r>
          </w:p>
        </w:tc>
        <w:tc>
          <w:tcPr>
            <w:tcW w:w="1010" w:type="dxa"/>
            <w:vAlign w:val="center"/>
          </w:tcPr>
          <w:p w14:paraId="5E35ACB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32</w:t>
            </w:r>
          </w:p>
        </w:tc>
        <w:tc>
          <w:tcPr>
            <w:tcW w:w="1216" w:type="dxa"/>
            <w:vAlign w:val="center"/>
          </w:tcPr>
          <w:p w14:paraId="4C3051F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90</w:t>
            </w:r>
          </w:p>
        </w:tc>
      </w:tr>
      <w:tr w:rsidR="00000000" w14:paraId="50336FC0" w14:textId="77777777">
        <w:trPr>
          <w:trHeight w:val="478"/>
          <w:tblHeader/>
        </w:trPr>
        <w:tc>
          <w:tcPr>
            <w:tcW w:w="5620" w:type="dxa"/>
            <w:gridSpan w:val="2"/>
            <w:vAlign w:val="center"/>
          </w:tcPr>
          <w:p w14:paraId="443F99A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理论与实验比</w:t>
            </w:r>
          </w:p>
        </w:tc>
        <w:tc>
          <w:tcPr>
            <w:tcW w:w="3497" w:type="dxa"/>
            <w:gridSpan w:val="3"/>
            <w:vAlign w:val="center"/>
          </w:tcPr>
          <w:p w14:paraId="56F6AC0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，实验所占比例：50</w:t>
            </w:r>
            <w:r>
              <w:rPr>
                <w:rFonts w:ascii="仿宋_GB2312" w:eastAsia="仿宋_GB2312" w:hAnsi="仿宋_GB2312" w:cs="仿宋_GB2312"/>
                <w:color w:val="000000"/>
                <w:szCs w:val="21"/>
              </w:rPr>
              <w:t>%</w:t>
            </w:r>
          </w:p>
        </w:tc>
      </w:tr>
    </w:tbl>
    <w:p w14:paraId="6052EA58" w14:textId="77777777" w:rsidR="00000000" w:rsidRDefault="00000000">
      <w:pPr>
        <w:numPr>
          <w:ilvl w:val="0"/>
          <w:numId w:val="7"/>
        </w:numPr>
        <w:spacing w:line="460" w:lineRule="atLeast"/>
        <w:ind w:firstLineChars="200" w:firstLine="480"/>
        <w:jc w:val="left"/>
        <w:rPr>
          <w:rFonts w:ascii="黑体" w:eastAsia="黑体" w:hAnsi="黑体"/>
          <w:sz w:val="24"/>
        </w:rPr>
      </w:pPr>
      <w:r>
        <w:rPr>
          <w:rFonts w:ascii="黑体" w:eastAsia="黑体" w:hAnsi="黑体" w:hint="eastAsia"/>
          <w:sz w:val="24"/>
        </w:rPr>
        <w:t>课程目标</w:t>
      </w:r>
    </w:p>
    <w:p w14:paraId="67F52AC0" w14:textId="77777777" w:rsidR="00000000" w:rsidRDefault="00000000">
      <w:pPr>
        <w:spacing w:line="460" w:lineRule="atLeast"/>
        <w:jc w:val="lef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通过对《医学基础》的学习，能够阐述和应用医学基础的基本理论、基本知识和基本病变，分析疾病的发生发展演进规律，学会细胞、组织、器官、系统水平和整体水平，解释疾病的变化规律，为学习临床医学课程打下坚实的基础。</w:t>
      </w:r>
    </w:p>
    <w:p w14:paraId="43760076"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具体目标</w:t>
      </w:r>
    </w:p>
    <w:p w14:paraId="20FC7A3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（一）知识目标</w:t>
      </w:r>
    </w:p>
    <w:p w14:paraId="10EA9264"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掌握医学基础的基本理论、基本技能。</w:t>
      </w:r>
    </w:p>
    <w:p w14:paraId="11FEAF18"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掌握常见病病理变化及临床病理联系。</w:t>
      </w:r>
      <w:r>
        <w:rPr>
          <w:rFonts w:ascii="仿宋_GB2312" w:eastAsia="仿宋_GB2312"/>
          <w:sz w:val="28"/>
          <w:szCs w:val="28"/>
        </w:rPr>
        <w:t xml:space="preserve"> </w:t>
      </w:r>
    </w:p>
    <w:p w14:paraId="728FD800" w14:textId="77777777" w:rsidR="00000000" w:rsidRDefault="00000000">
      <w:pPr>
        <w:spacing w:line="460" w:lineRule="atLeas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熟悉常见病变的转归、结局。</w:t>
      </w:r>
    </w:p>
    <w:p w14:paraId="135E5F41" w14:textId="77777777" w:rsidR="00000000" w:rsidRDefault="00000000">
      <w:pPr>
        <w:spacing w:line="460" w:lineRule="atLeast"/>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了解常见病、多发病的病因、发病机制。</w:t>
      </w:r>
      <w:r>
        <w:rPr>
          <w:rFonts w:ascii="仿宋_GB2312" w:eastAsia="仿宋_GB2312"/>
          <w:sz w:val="28"/>
          <w:szCs w:val="28"/>
        </w:rPr>
        <w:t xml:space="preserve"> </w:t>
      </w:r>
    </w:p>
    <w:p w14:paraId="2678FFC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（二）能力目标</w:t>
      </w:r>
    </w:p>
    <w:p w14:paraId="0AF953DB"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能够具备描述人体的基本结构和功能。</w:t>
      </w:r>
    </w:p>
    <w:p w14:paraId="1A12B4E1"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知道常见疾病的概念、病因、症状。</w:t>
      </w:r>
      <w:r>
        <w:rPr>
          <w:rFonts w:ascii="仿宋_GB2312" w:eastAsia="仿宋_GB2312"/>
          <w:sz w:val="28"/>
          <w:szCs w:val="28"/>
        </w:rPr>
        <w:t xml:space="preserve"> </w:t>
      </w:r>
    </w:p>
    <w:p w14:paraId="5AB1D7A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（三）素质目标</w:t>
      </w:r>
    </w:p>
    <w:p w14:paraId="73AC1409" w14:textId="77777777" w:rsidR="00000000" w:rsidRDefault="00000000">
      <w:pPr>
        <w:spacing w:line="460" w:lineRule="atLeas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培养认真、细致，为人民健康负责的工作态度。</w:t>
      </w:r>
    </w:p>
    <w:p w14:paraId="2B8997B4"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培养自主学习、不断探索新的医药知识。</w:t>
      </w:r>
    </w:p>
    <w:p w14:paraId="588DA6BC" w14:textId="77777777" w:rsidR="00000000" w:rsidRDefault="00000000">
      <w:pPr>
        <w:spacing w:line="460" w:lineRule="atLeas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具备良好的职业道德。</w:t>
      </w:r>
    </w:p>
    <w:p w14:paraId="4D426C0A" w14:textId="77777777" w:rsidR="00000000" w:rsidRDefault="00000000">
      <w:pPr>
        <w:spacing w:line="460" w:lineRule="atLeast"/>
        <w:ind w:firstLineChars="50" w:firstLine="120"/>
        <w:jc w:val="left"/>
        <w:rPr>
          <w:rFonts w:ascii="黑体" w:eastAsia="黑体" w:hAnsi="黑体"/>
          <w:sz w:val="24"/>
        </w:rPr>
      </w:pPr>
      <w:r>
        <w:rPr>
          <w:rFonts w:ascii="黑体" w:eastAsia="黑体" w:hAnsi="黑体" w:hint="eastAsia"/>
          <w:sz w:val="24"/>
        </w:rPr>
        <w:t>三、课程内容标准</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850"/>
        <w:gridCol w:w="1797"/>
        <w:gridCol w:w="3298"/>
        <w:gridCol w:w="816"/>
        <w:gridCol w:w="1139"/>
        <w:gridCol w:w="641"/>
        <w:gridCol w:w="525"/>
      </w:tblGrid>
      <w:tr w:rsidR="00000000" w14:paraId="1B7B799F" w14:textId="77777777">
        <w:trPr>
          <w:trHeight w:val="130"/>
          <w:tblHeader/>
          <w:jc w:val="center"/>
        </w:trPr>
        <w:tc>
          <w:tcPr>
            <w:tcW w:w="555" w:type="dxa"/>
            <w:vMerge w:val="restart"/>
            <w:tcBorders>
              <w:top w:val="single" w:sz="12" w:space="0" w:color="auto"/>
            </w:tcBorders>
            <w:vAlign w:val="center"/>
          </w:tcPr>
          <w:p w14:paraId="08378B2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850" w:type="dxa"/>
            <w:vMerge w:val="restart"/>
            <w:tcBorders>
              <w:top w:val="single" w:sz="12" w:space="0" w:color="auto"/>
            </w:tcBorders>
            <w:vAlign w:val="center"/>
          </w:tcPr>
          <w:p w14:paraId="55E1667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工作</w:t>
            </w:r>
          </w:p>
          <w:p w14:paraId="432528F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w:t>
            </w:r>
          </w:p>
        </w:tc>
        <w:tc>
          <w:tcPr>
            <w:tcW w:w="1797" w:type="dxa"/>
            <w:vMerge w:val="restart"/>
            <w:tcBorders>
              <w:top w:val="single" w:sz="12" w:space="0" w:color="auto"/>
              <w:right w:val="nil"/>
            </w:tcBorders>
            <w:vAlign w:val="center"/>
          </w:tcPr>
          <w:p w14:paraId="03A172F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tc>
        <w:tc>
          <w:tcPr>
            <w:tcW w:w="3298" w:type="dxa"/>
            <w:vMerge w:val="restart"/>
            <w:tcBorders>
              <w:top w:val="single" w:sz="12" w:space="0" w:color="auto"/>
              <w:left w:val="nil"/>
            </w:tcBorders>
            <w:vAlign w:val="center"/>
          </w:tcPr>
          <w:p w14:paraId="63C4EC8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教学目标</w:t>
            </w:r>
          </w:p>
        </w:tc>
        <w:tc>
          <w:tcPr>
            <w:tcW w:w="816" w:type="dxa"/>
            <w:vMerge w:val="restart"/>
            <w:tcBorders>
              <w:top w:val="single" w:sz="12" w:space="0" w:color="auto"/>
            </w:tcBorders>
            <w:vAlign w:val="center"/>
          </w:tcPr>
          <w:p w14:paraId="14B420F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考核</w:t>
            </w:r>
          </w:p>
          <w:p w14:paraId="5D605BB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评价</w:t>
            </w:r>
          </w:p>
        </w:tc>
        <w:tc>
          <w:tcPr>
            <w:tcW w:w="1139" w:type="dxa"/>
            <w:vMerge w:val="restart"/>
            <w:tcBorders>
              <w:top w:val="single" w:sz="12" w:space="0" w:color="auto"/>
            </w:tcBorders>
            <w:vAlign w:val="center"/>
          </w:tcPr>
          <w:p w14:paraId="54AC8FF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活动</w:t>
            </w:r>
          </w:p>
          <w:p w14:paraId="7B1AFD6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建议</w:t>
            </w:r>
          </w:p>
        </w:tc>
        <w:tc>
          <w:tcPr>
            <w:tcW w:w="1166" w:type="dxa"/>
            <w:gridSpan w:val="2"/>
            <w:tcBorders>
              <w:top w:val="single" w:sz="12" w:space="0" w:color="auto"/>
            </w:tcBorders>
            <w:vAlign w:val="center"/>
          </w:tcPr>
          <w:p w14:paraId="5578EF2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r>
      <w:tr w:rsidR="00000000" w14:paraId="0B90CE8D" w14:textId="77777777">
        <w:trPr>
          <w:trHeight w:val="243"/>
          <w:tblHeader/>
          <w:jc w:val="center"/>
        </w:trPr>
        <w:tc>
          <w:tcPr>
            <w:tcW w:w="555" w:type="dxa"/>
            <w:vMerge/>
            <w:vAlign w:val="center"/>
          </w:tcPr>
          <w:p w14:paraId="6AF5830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50" w:type="dxa"/>
            <w:vMerge/>
            <w:vAlign w:val="center"/>
          </w:tcPr>
          <w:p w14:paraId="67B1961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797" w:type="dxa"/>
            <w:vMerge/>
            <w:vAlign w:val="center"/>
          </w:tcPr>
          <w:p w14:paraId="22D6C5E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3298" w:type="dxa"/>
            <w:vMerge/>
            <w:tcBorders>
              <w:left w:val="nil"/>
            </w:tcBorders>
            <w:vAlign w:val="center"/>
          </w:tcPr>
          <w:p w14:paraId="2472B31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16" w:type="dxa"/>
            <w:vMerge/>
            <w:vAlign w:val="center"/>
          </w:tcPr>
          <w:p w14:paraId="5F4E3F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1139" w:type="dxa"/>
            <w:vMerge/>
            <w:vAlign w:val="center"/>
          </w:tcPr>
          <w:p w14:paraId="57F8DE2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41" w:type="dxa"/>
            <w:vAlign w:val="center"/>
          </w:tcPr>
          <w:p w14:paraId="016FDFA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tc>
        <w:tc>
          <w:tcPr>
            <w:tcW w:w="525" w:type="dxa"/>
            <w:vAlign w:val="center"/>
          </w:tcPr>
          <w:p w14:paraId="3BE2EC5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w:t>
            </w:r>
          </w:p>
        </w:tc>
      </w:tr>
      <w:tr w:rsidR="00000000" w14:paraId="018A051D" w14:textId="77777777">
        <w:trPr>
          <w:trHeight w:val="2285"/>
          <w:jc w:val="center"/>
        </w:trPr>
        <w:tc>
          <w:tcPr>
            <w:tcW w:w="555" w:type="dxa"/>
            <w:vAlign w:val="center"/>
          </w:tcPr>
          <w:p w14:paraId="4D509E1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50" w:type="dxa"/>
            <w:vAlign w:val="center"/>
          </w:tcPr>
          <w:p w14:paraId="28CE7C6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课程单元1</w:t>
            </w:r>
          </w:p>
        </w:tc>
        <w:tc>
          <w:tcPr>
            <w:tcW w:w="1797" w:type="dxa"/>
            <w:vAlign w:val="center"/>
          </w:tcPr>
          <w:p w14:paraId="14883CC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．理论教学内容</w:t>
            </w:r>
          </w:p>
          <w:p w14:paraId="4990C70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⑴细胞的概念</w:t>
            </w:r>
          </w:p>
          <w:p w14:paraId="523059D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⑵主要细胞器的功能</w:t>
            </w:r>
          </w:p>
          <w:p w14:paraId="23F388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⑶基本组织的分类</w:t>
            </w:r>
          </w:p>
        </w:tc>
        <w:tc>
          <w:tcPr>
            <w:tcW w:w="3298" w:type="dxa"/>
            <w:vAlign w:val="center"/>
          </w:tcPr>
          <w:p w14:paraId="50C609C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5871F00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⑴掌握人体的基本单位。</w:t>
            </w:r>
          </w:p>
          <w:p w14:paraId="261158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⑵熟悉组成人体的基本组织。</w:t>
            </w:r>
          </w:p>
          <w:p w14:paraId="028EC63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．能力目标</w:t>
            </w:r>
          </w:p>
          <w:p w14:paraId="3A56CE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能够概述出细胞的概念及细胞的基本结构；能说出主要细胞器的功能</w:t>
            </w:r>
          </w:p>
          <w:p w14:paraId="2F323AE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．素质目标</w:t>
            </w:r>
          </w:p>
          <w:p w14:paraId="350B54E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学习《医学基础》必须坚持辩证唯物主义的世界观和方法论，用对立统一的方法认识疾病，用运动、发展的观点看待疾病，具体病变具体分析。</w:t>
            </w:r>
          </w:p>
        </w:tc>
        <w:tc>
          <w:tcPr>
            <w:tcW w:w="816" w:type="dxa"/>
            <w:vAlign w:val="center"/>
          </w:tcPr>
          <w:p w14:paraId="0EC46A8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提问</w:t>
            </w:r>
          </w:p>
        </w:tc>
        <w:tc>
          <w:tcPr>
            <w:tcW w:w="1139" w:type="dxa"/>
            <w:vAlign w:val="center"/>
          </w:tcPr>
          <w:p w14:paraId="20384DC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p w14:paraId="2B0CD21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理论讲述</w:t>
            </w:r>
          </w:p>
          <w:p w14:paraId="25E48D6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C127CF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p w14:paraId="7C50FEE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多媒体课件</w:t>
            </w:r>
          </w:p>
        </w:tc>
        <w:tc>
          <w:tcPr>
            <w:tcW w:w="641" w:type="dxa"/>
            <w:vAlign w:val="center"/>
          </w:tcPr>
          <w:p w14:paraId="4A5092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25" w:type="dxa"/>
            <w:vAlign w:val="center"/>
          </w:tcPr>
          <w:p w14:paraId="101E9D6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0</w:t>
            </w:r>
          </w:p>
        </w:tc>
      </w:tr>
      <w:tr w:rsidR="00000000" w14:paraId="465EBA08" w14:textId="77777777">
        <w:trPr>
          <w:trHeight w:val="1154"/>
          <w:jc w:val="center"/>
        </w:trPr>
        <w:tc>
          <w:tcPr>
            <w:tcW w:w="555" w:type="dxa"/>
            <w:vAlign w:val="center"/>
          </w:tcPr>
          <w:p w14:paraId="26F2EAF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12</w:t>
            </w:r>
          </w:p>
        </w:tc>
        <w:tc>
          <w:tcPr>
            <w:tcW w:w="850" w:type="dxa"/>
            <w:vAlign w:val="center"/>
          </w:tcPr>
          <w:p w14:paraId="502C35B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课程单元2</w:t>
            </w:r>
          </w:p>
        </w:tc>
        <w:tc>
          <w:tcPr>
            <w:tcW w:w="1797" w:type="dxa"/>
            <w:vAlign w:val="center"/>
          </w:tcPr>
          <w:p w14:paraId="4B15466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．内科学概述</w:t>
            </w:r>
          </w:p>
          <w:p w14:paraId="0A3A669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2.呼吸系统疾病</w:t>
            </w:r>
          </w:p>
          <w:p w14:paraId="7D7D5BE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3.循环系统疾病</w:t>
            </w:r>
          </w:p>
          <w:p w14:paraId="4D3CAD7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4.消化系统疾病</w:t>
            </w:r>
          </w:p>
          <w:p w14:paraId="2BD6F58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5.泌尿系统疾病</w:t>
            </w:r>
          </w:p>
          <w:p w14:paraId="7095692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6.血液系统疾病</w:t>
            </w:r>
          </w:p>
          <w:p w14:paraId="2EF09AD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7.内分泌代谢疾病</w:t>
            </w:r>
          </w:p>
          <w:p w14:paraId="5F72276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8.风湿性疾病</w:t>
            </w:r>
          </w:p>
          <w:p w14:paraId="395EF58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9.神经系统疾病</w:t>
            </w:r>
          </w:p>
          <w:p w14:paraId="0AFD5A9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10.精神疾病</w:t>
            </w:r>
          </w:p>
        </w:tc>
        <w:tc>
          <w:tcPr>
            <w:tcW w:w="3298" w:type="dxa"/>
            <w:vAlign w:val="center"/>
          </w:tcPr>
          <w:p w14:paraId="348814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63777EA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一）内科学概述</w:t>
            </w:r>
          </w:p>
          <w:p w14:paraId="7A42FE1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①掌握内科学学习的目的和要求</w:t>
            </w:r>
          </w:p>
          <w:p w14:paraId="771AE3B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②熟悉内科学概念、范围。</w:t>
            </w:r>
          </w:p>
          <w:p w14:paraId="5D9ECD3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③了解内科学新进展</w:t>
            </w:r>
          </w:p>
          <w:p w14:paraId="3033291F"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④学会对内科常见病、多发病的诊断治疗思维方法</w:t>
            </w:r>
          </w:p>
          <w:p w14:paraId="35BD4CF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二）呼吸系统</w:t>
            </w:r>
          </w:p>
          <w:p w14:paraId="3A3DD31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①掌握急、慢性支气管炎的临床表现、诊断及治疗和防止</w:t>
            </w:r>
          </w:p>
          <w:p w14:paraId="70D7871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②了解急、慢性支气管炎的病因及发病机制</w:t>
            </w:r>
          </w:p>
          <w:p w14:paraId="1765B17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③掌握阻塞性肺气肿的临床表现、诊断依据及治疗原则</w:t>
            </w:r>
          </w:p>
          <w:p w14:paraId="335588F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④了解本病的病因及发病机制</w:t>
            </w:r>
          </w:p>
          <w:p w14:paraId="7374D6D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⑤掌握肺源性心脏病急性加重期和缓解期的临床特点、诊断、鉴别诊断及治疗原则</w:t>
            </w:r>
          </w:p>
          <w:p w14:paraId="646368F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⑥掌握支气管哮喘的典型临床表现，病情严重程度的分度，诊断及鉴别诊断和防止原则</w:t>
            </w:r>
          </w:p>
          <w:p w14:paraId="54BE009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⑦掌握肺炎球菌肺炎的临床变现、诊断依据、鉴别诊断要点和治疗原则。掌握休克性肺炎的诊断要点和治疗原则</w:t>
            </w:r>
          </w:p>
          <w:p w14:paraId="1829007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三）循环系统疾病</w:t>
            </w:r>
          </w:p>
          <w:p w14:paraId="78048343"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①掌握心力衰竭的类型和心功</w:t>
            </w:r>
            <w:r>
              <w:rPr>
                <w:rFonts w:ascii="仿宋_GB2312" w:eastAsia="仿宋_GB2312" w:hAnsi="仿宋_GB2312" w:cs="仿宋_GB2312" w:hint="eastAsia"/>
                <w:color w:val="000000"/>
                <w:szCs w:val="21"/>
              </w:rPr>
              <w:lastRenderedPageBreak/>
              <w:t>能的分级；左、右心力衰竭的临床表现、诊断、鉴别诊断及治疗原则；药物的临床应用；急性左心衰的抢救措施</w:t>
            </w:r>
          </w:p>
          <w:p w14:paraId="602CA8F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②了解心率失常发病机制及其有关检查</w:t>
            </w:r>
          </w:p>
          <w:p w14:paraId="2C5AB68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③了解原发性高血压的病因、发病机制</w:t>
            </w:r>
          </w:p>
          <w:p w14:paraId="2F18B4E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④掌握冠心病心绞痛和急性心肌梗塞的临床表现，诊断要点和治疗原则</w:t>
            </w:r>
          </w:p>
          <w:p w14:paraId="61E1D32B"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⑤熟悉扩张型心肌病的常见病因、发病机制</w:t>
            </w:r>
          </w:p>
          <w:p w14:paraId="2F6F081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⑥了解感染性心内膜炎的病因与病理改变</w:t>
            </w:r>
          </w:p>
          <w:p w14:paraId="5197252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⑦掌握心包炎的临床表现、诊断要点和治疗原则</w:t>
            </w:r>
          </w:p>
          <w:p w14:paraId="2E7993E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四）消化系统疾病</w:t>
            </w:r>
          </w:p>
          <w:p w14:paraId="092CB28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①掌握急性糜烂性胃炎和慢性胃炎的诊断要点和治疗原则</w:t>
            </w:r>
          </w:p>
          <w:p w14:paraId="12C8DCA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②熟悉消化性溃疡的病因和发病机制，以及鉴别诊断</w:t>
            </w:r>
          </w:p>
          <w:p w14:paraId="3EC69C35"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③掌握病毒性肝炎后性肝硬化的临床表现（代偿期及失代偿期）、并发症、诊断要点及治疗原则</w:t>
            </w:r>
          </w:p>
          <w:p w14:paraId="6463826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④掌握感性脑病的临床表现，诊断和鉴别诊断和治疗原则</w:t>
            </w:r>
          </w:p>
          <w:p w14:paraId="588EB1DC"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⑤了解急性胰腺炎的病因，发</w:t>
            </w:r>
            <w:r>
              <w:rPr>
                <w:rFonts w:ascii="仿宋_GB2312" w:eastAsia="仿宋_GB2312" w:hAnsi="仿宋_GB2312" w:cs="仿宋_GB2312" w:hint="eastAsia"/>
                <w:color w:val="000000"/>
                <w:szCs w:val="21"/>
              </w:rPr>
              <w:lastRenderedPageBreak/>
              <w:t>病机制</w:t>
            </w:r>
          </w:p>
          <w:p w14:paraId="754A3C3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⑥掌握上消化道出血的临床表现、诊断及治疗原则</w:t>
            </w:r>
          </w:p>
          <w:p w14:paraId="3BF49DB0"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五）泌尿系统疾病</w:t>
            </w:r>
          </w:p>
          <w:p w14:paraId="32523A1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①掌握肾小球疾病临床表现、急慢性肾小球肾炎、肾病综合征的诊断、鉴别诊断和治疗原则</w:t>
            </w:r>
          </w:p>
          <w:p w14:paraId="178B2CF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②了解尿路感染的病理和实验室、影像学检查的意义</w:t>
            </w:r>
          </w:p>
          <w:p w14:paraId="5148EAC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③掌握慢性肾衰竭的临床表现、肾功能不全的分期、诊断依据和治疗原则</w:t>
            </w:r>
          </w:p>
          <w:p w14:paraId="7564A9F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六）血液系统疾病</w:t>
            </w:r>
          </w:p>
          <w:p w14:paraId="31D94D5C"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①掌握贫血的诊断标准、诊断步骤和方法</w:t>
            </w:r>
          </w:p>
          <w:p w14:paraId="78799A29"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②掌握缺铁性贫血的病因、临床表现、诊断依据、实验室检查、治疗原则及预防措施</w:t>
            </w:r>
          </w:p>
          <w:p w14:paraId="6C1C0BA1"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③熟悉再生障碍性贫血的病因，及再障的分型</w:t>
            </w:r>
          </w:p>
          <w:p w14:paraId="0AF71FB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④熟悉特发性血小板减少性紫癜的病因和实验室检查</w:t>
            </w:r>
          </w:p>
          <w:p w14:paraId="45879B0C"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⑤掌握白血病的分类、临床表现、实验室检查、诊断依据和治疗原则</w:t>
            </w:r>
          </w:p>
          <w:p w14:paraId="7E53FBB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七）内分泌及代谢系统疾病</w:t>
            </w:r>
          </w:p>
          <w:p w14:paraId="76EC8BF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①掌握甲亢的临床表现、诊断和鉴别诊断、药物治疗原则和甲状</w:t>
            </w:r>
            <w:r>
              <w:rPr>
                <w:rFonts w:ascii="仿宋_GB2312" w:eastAsia="仿宋_GB2312" w:hAnsi="仿宋_GB2312" w:cs="仿宋_GB2312" w:hint="eastAsia"/>
                <w:color w:val="000000"/>
                <w:szCs w:val="21"/>
              </w:rPr>
              <w:lastRenderedPageBreak/>
              <w:t>腺危象的防治原则</w:t>
            </w:r>
          </w:p>
          <w:p w14:paraId="6BC1B57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 掌握糖尿病的分类、临床表现、诊断标准和治疗原则</w:t>
            </w:r>
          </w:p>
          <w:p w14:paraId="015BFF30"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八）风湿性疾病</w:t>
            </w:r>
          </w:p>
          <w:p w14:paraId="41597D46"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①掌握类风湿关节炎的临床表现、辅助检查、诊断及治疗</w:t>
            </w:r>
          </w:p>
          <w:p w14:paraId="2127C00C"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②熟悉类风湿关节炎的鉴别诊、本病的病因、发病机制</w:t>
            </w:r>
          </w:p>
          <w:p w14:paraId="0CFF5498"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③掌握系统性红斑狼疮力创表现、实验室检查、诊断依据及治疗原则</w:t>
            </w:r>
          </w:p>
          <w:p w14:paraId="3A5D0297"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④了解系统性红斑狼疮的病理改变</w:t>
            </w:r>
          </w:p>
          <w:p w14:paraId="1D393D9D"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九）神经系统疾病</w:t>
            </w:r>
          </w:p>
          <w:p w14:paraId="37FD72F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①掌握常见症状特点及定位诊断</w:t>
            </w:r>
          </w:p>
          <w:p w14:paraId="112F8FA0"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②具有对常见症状定位诊断、鉴别诊断、治疗与健康指导能力</w:t>
            </w:r>
          </w:p>
          <w:p w14:paraId="68A59B34"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③了解面神经炎的病因</w:t>
            </w:r>
          </w:p>
          <w:p w14:paraId="34400EEE"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④掌握急性炎症性脱髓鞘性多发性神经炎</w:t>
            </w:r>
          </w:p>
          <w:p w14:paraId="18898FAA"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⑤了解急性脑血管疾病</w:t>
            </w:r>
          </w:p>
          <w:p w14:paraId="70592002" w14:textId="77777777" w:rsidR="00000000" w:rsidRDefault="00000000">
            <w:pPr>
              <w:autoSpaceDE w:val="0"/>
              <w:autoSpaceDN w:val="0"/>
              <w:spacing w:line="460" w:lineRule="atLeast"/>
              <w:ind w:firstLineChars="150" w:firstLine="31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⑥了解精神分裂症的病因、发病机制</w:t>
            </w:r>
          </w:p>
          <w:p w14:paraId="262DCFDC" w14:textId="77777777" w:rsidR="00000000" w:rsidRDefault="00000000">
            <w:pPr>
              <w:autoSpaceDE w:val="0"/>
              <w:autoSpaceDN w:val="0"/>
              <w:spacing w:line="460" w:lineRule="atLeast"/>
              <w:ind w:firstLineChars="150" w:firstLine="31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⑦了解癔症的病因、发病机制</w:t>
            </w:r>
          </w:p>
          <w:p w14:paraId="468BEA6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．能力目标</w:t>
            </w:r>
          </w:p>
          <w:p w14:paraId="00ABAC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能分清各疾病的病因及其机制</w:t>
            </w:r>
          </w:p>
          <w:p w14:paraId="54F3A77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素质目标</w:t>
            </w:r>
          </w:p>
          <w:p w14:paraId="226C64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正确认识各系统在行使功能的过程中的辩证关系</w:t>
            </w:r>
          </w:p>
        </w:tc>
        <w:tc>
          <w:tcPr>
            <w:tcW w:w="816" w:type="dxa"/>
            <w:vAlign w:val="center"/>
          </w:tcPr>
          <w:p w14:paraId="3346907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提问</w:t>
            </w:r>
          </w:p>
          <w:p w14:paraId="35215EA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5C3A023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3872E87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讨论</w:t>
            </w:r>
          </w:p>
        </w:tc>
        <w:tc>
          <w:tcPr>
            <w:tcW w:w="1139" w:type="dxa"/>
            <w:vAlign w:val="center"/>
          </w:tcPr>
          <w:p w14:paraId="2B4E09A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p w14:paraId="6BD6453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理论讲授</w:t>
            </w:r>
          </w:p>
          <w:p w14:paraId="162ACD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p w14:paraId="0312563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课堂讨论</w:t>
            </w:r>
          </w:p>
          <w:p w14:paraId="7183518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p w14:paraId="55DA988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多媒体</w:t>
            </w:r>
          </w:p>
        </w:tc>
        <w:tc>
          <w:tcPr>
            <w:tcW w:w="641" w:type="dxa"/>
            <w:vAlign w:val="center"/>
          </w:tcPr>
          <w:p w14:paraId="3E1B767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525" w:type="dxa"/>
            <w:vAlign w:val="center"/>
          </w:tcPr>
          <w:p w14:paraId="3E9DCA1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r w:rsidR="00000000" w14:paraId="313CE036" w14:textId="77777777">
        <w:trPr>
          <w:trHeight w:val="911"/>
          <w:jc w:val="center"/>
        </w:trPr>
        <w:tc>
          <w:tcPr>
            <w:tcW w:w="555" w:type="dxa"/>
            <w:vAlign w:val="center"/>
          </w:tcPr>
          <w:p w14:paraId="3B13B16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1</w:t>
            </w:r>
          </w:p>
        </w:tc>
        <w:tc>
          <w:tcPr>
            <w:tcW w:w="850" w:type="dxa"/>
            <w:vAlign w:val="center"/>
          </w:tcPr>
          <w:p w14:paraId="7D8996D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课程单元3</w:t>
            </w:r>
          </w:p>
        </w:tc>
        <w:tc>
          <w:tcPr>
            <w:tcW w:w="1797" w:type="dxa"/>
            <w:vAlign w:val="center"/>
          </w:tcPr>
          <w:p w14:paraId="226D329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1.手术基本知识</w:t>
            </w:r>
          </w:p>
          <w:p w14:paraId="523B8FF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2.麻醉</w:t>
            </w:r>
          </w:p>
          <w:p w14:paraId="520EFC4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3.心肺复苏</w:t>
            </w:r>
          </w:p>
          <w:p w14:paraId="23F0175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4.休克</w:t>
            </w:r>
          </w:p>
          <w:p w14:paraId="4CBB3FC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5.急性器官功能衰竭</w:t>
            </w:r>
          </w:p>
          <w:p w14:paraId="468A04A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6.损伤</w:t>
            </w:r>
          </w:p>
          <w:p w14:paraId="37E1CC0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7．外科感染</w:t>
            </w:r>
          </w:p>
          <w:p w14:paraId="6C5CA2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8.肿瘤</w:t>
            </w:r>
          </w:p>
          <w:p w14:paraId="38D7A08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9.颅脑疾病</w:t>
            </w:r>
          </w:p>
          <w:p w14:paraId="4337258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10.颈部疾病</w:t>
            </w:r>
          </w:p>
          <w:p w14:paraId="35A8746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11.胸部疾病</w:t>
            </w:r>
          </w:p>
          <w:p w14:paraId="1A85852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12.腹部疾病</w:t>
            </w:r>
          </w:p>
        </w:tc>
        <w:tc>
          <w:tcPr>
            <w:tcW w:w="3298" w:type="dxa"/>
            <w:vAlign w:val="center"/>
          </w:tcPr>
          <w:p w14:paraId="0F511F4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．知识目标</w:t>
            </w:r>
          </w:p>
          <w:p w14:paraId="362A9E6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一）手术基本知识</w:t>
            </w:r>
          </w:p>
          <w:p w14:paraId="1C0C59B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①掌握洗手、穿无菌手术衣和戴无菌手术手套的方法</w:t>
            </w:r>
          </w:p>
          <w:p w14:paraId="20DAC26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②熟悉手术时无菌损伤规则</w:t>
            </w:r>
          </w:p>
          <w:p w14:paraId="0361E6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二）麻醉</w:t>
            </w:r>
          </w:p>
          <w:p w14:paraId="5DE5F52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①了解麻醉的概念和临床任务</w:t>
            </w:r>
          </w:p>
          <w:p w14:paraId="59FBDE0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②了解麻醉前准备的重要性，和选择麻醉的原则</w:t>
            </w:r>
          </w:p>
          <w:p w14:paraId="2E82414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③掌握气管内插管术和麻醉装置</w:t>
            </w:r>
          </w:p>
          <w:p w14:paraId="560E651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④熟悉全身麻醉和椎管内麻醉的并发症及预防和处理</w:t>
            </w:r>
          </w:p>
          <w:p w14:paraId="0148A3E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三）心肺复苏</w:t>
            </w:r>
          </w:p>
          <w:p w14:paraId="5AC3D2F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①了解呼吸监测治疗和血流动力学监测的临床应用</w:t>
            </w:r>
          </w:p>
          <w:p w14:paraId="2582357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②掌握心跳呼吸骤停的及时诊断及复苏</w:t>
            </w:r>
          </w:p>
          <w:p w14:paraId="0F49D75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③了解人二呼吸的原理，方法，掌握简易呼吸器的应用</w:t>
            </w:r>
          </w:p>
          <w:p w14:paraId="1ED71E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④了解心脏按压的原理，掌握胸外心脏按压法</w:t>
            </w:r>
          </w:p>
          <w:p w14:paraId="3DC8D51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⑤了解复苏后治疗的意义及脑复苏的处理原则</w:t>
            </w:r>
          </w:p>
          <w:p w14:paraId="5CA3990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四）全身支持</w:t>
            </w:r>
          </w:p>
          <w:p w14:paraId="0B32EBA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①掌握体液平衡的调节机理</w:t>
            </w:r>
          </w:p>
          <w:p w14:paraId="3B862E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②熟悉各型缺水的病因、临床表现、诊断和治疗</w:t>
            </w:r>
          </w:p>
          <w:p w14:paraId="25B4670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③熟悉代谢性酸中毒和2型呼吸性酸中毒的病理生理临床表现，诊断和治疗</w:t>
            </w:r>
          </w:p>
          <w:p w14:paraId="14E1844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④了解水、电解质和酸碱平衡失调的防治原则</w:t>
            </w:r>
          </w:p>
          <w:p w14:paraId="2A9BB67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五）休克</w:t>
            </w:r>
          </w:p>
          <w:p w14:paraId="32B3A89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①熟悉休克的分类和分期</w:t>
            </w:r>
          </w:p>
          <w:p w14:paraId="31571C3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②掌握休克的病理生理和微循环变化</w:t>
            </w:r>
          </w:p>
          <w:p w14:paraId="75E1694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③熟悉休克的诊断和预防要点</w:t>
            </w:r>
          </w:p>
          <w:p w14:paraId="638FBA3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④学会休克的一般急救措施和治疗要点，特别是补液量的估计和血管活性药物的应用</w:t>
            </w:r>
          </w:p>
          <w:p w14:paraId="1BE743C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六）多器官功能衰竭</w:t>
            </w:r>
          </w:p>
          <w:p w14:paraId="121F9F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①熟悉多器官衰竭的发病机制</w:t>
            </w:r>
          </w:p>
          <w:p w14:paraId="62278DA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②熟悉急性肾功能衰竭的病理生理和防止原则</w:t>
            </w:r>
          </w:p>
          <w:p w14:paraId="2272E88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七）损伤</w:t>
            </w:r>
          </w:p>
          <w:p w14:paraId="2D4F9C9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①了解损伤后人体的病理生理变化过程，熟悉损伤后机体修复过程及影响因素</w:t>
            </w:r>
          </w:p>
          <w:p w14:paraId="62366DD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②熟悉损伤的诊断、急救措施</w:t>
            </w:r>
            <w:r>
              <w:rPr>
                <w:rFonts w:ascii="仿宋_GB2312" w:eastAsia="仿宋_GB2312" w:hAnsi="仿宋_GB2312" w:cs="仿宋_GB2312" w:hint="eastAsia"/>
                <w:color w:val="000000"/>
                <w:szCs w:val="21"/>
              </w:rPr>
              <w:lastRenderedPageBreak/>
              <w:t>和处理原则</w:t>
            </w:r>
          </w:p>
          <w:p w14:paraId="5D20EB6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③掌握各软组织损伤的临床特点和处理方法</w:t>
            </w:r>
          </w:p>
          <w:p w14:paraId="52F2E85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④掌握闭合性损伤及污染伤口常规处理</w:t>
            </w:r>
          </w:p>
          <w:p w14:paraId="4BC928D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八）外科感染</w:t>
            </w:r>
          </w:p>
          <w:p w14:paraId="7F3110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①熟悉外科感染的发生和发展规律，掌握防治原则</w:t>
            </w:r>
          </w:p>
          <w:p w14:paraId="185ABD9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②掌握疖、痈、急性蜂窝炎、急性淋巴结眼、急性淋巴管眼和体表脓肿的临床表现及治疗方法</w:t>
            </w:r>
          </w:p>
          <w:p w14:paraId="6C28B2A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③熟悉败血症和脓血症的临床表现和治疗原则</w:t>
            </w:r>
          </w:p>
          <w:p w14:paraId="705ABE9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九）肿瘤</w:t>
            </w:r>
          </w:p>
          <w:p w14:paraId="644E352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①了解肿瘤的病因、熟悉肿瘤的分类、良性肿瘤与恶性肿瘤的病理与临床特点</w:t>
            </w:r>
          </w:p>
          <w:p w14:paraId="275A80C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②掌握恶性肿瘤的诊断步骤和治疗原则</w:t>
            </w:r>
          </w:p>
          <w:p w14:paraId="560AF0B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③掌握肿瘤常见的体表良性肿瘤的诊断和治疗</w:t>
            </w:r>
          </w:p>
          <w:p w14:paraId="7CC16C9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十）颅脑疾病</w:t>
            </w:r>
          </w:p>
          <w:p w14:paraId="236F4A4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①了解头皮损伤的类型</w:t>
            </w:r>
          </w:p>
          <w:p w14:paraId="7F81377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②来哦接原发性颅脑损伤，继发性颅内出血和血肿的发病原理</w:t>
            </w:r>
          </w:p>
          <w:p w14:paraId="1B39E0D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③熟悉颅脑损伤并发症及后遗症</w:t>
            </w:r>
          </w:p>
          <w:p w14:paraId="167387D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④熟悉开放性脑损伤的概念</w:t>
            </w:r>
            <w:r>
              <w:rPr>
                <w:rFonts w:ascii="仿宋_GB2312" w:eastAsia="仿宋_GB2312" w:hAnsi="仿宋_GB2312" w:cs="仿宋_GB2312" w:hint="eastAsia"/>
                <w:color w:val="000000"/>
                <w:szCs w:val="21"/>
              </w:rPr>
              <w:lastRenderedPageBreak/>
              <w:t>和处理原则</w:t>
            </w:r>
          </w:p>
          <w:p w14:paraId="692E7CD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⑤掌握脑震荡、脑挫裂伤、硬脑膜外血肿的临床表现，诊断和治疗原则</w:t>
            </w:r>
          </w:p>
          <w:p w14:paraId="377775F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十一）颈部疾病</w:t>
            </w:r>
          </w:p>
          <w:p w14:paraId="7CF50088"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①掌握颈部肿块的检查和诊断方法</w:t>
            </w:r>
          </w:p>
          <w:p w14:paraId="5E225B03"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②甲状腺结节的诊断和处理方法</w:t>
            </w:r>
          </w:p>
          <w:p w14:paraId="670A7ACC"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③甲亢的外科治疗原则</w:t>
            </w:r>
          </w:p>
          <w:p w14:paraId="1815D5D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④颈淋巴结结核的诊断和处理原则</w:t>
            </w:r>
          </w:p>
          <w:p w14:paraId="18B9DBB2"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十二）胸部疾病</w:t>
            </w:r>
          </w:p>
          <w:p w14:paraId="2D2E0ACA"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①掌握乳腺疾病的常见临床症状，体格检查方法，熟悉常用的辅助检查方法</w:t>
            </w:r>
          </w:p>
          <w:p w14:paraId="5A60BA07"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②了解乳腺纤维瘤的临床表现，诊断方法和治疗原则</w:t>
            </w:r>
          </w:p>
          <w:p w14:paraId="4BCD85CB"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③熟悉乳腺囊性增生病的发病机理，熟悉其临床表现，诊断方法和治疗原则</w:t>
            </w:r>
          </w:p>
          <w:p w14:paraId="2692A220"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④了解急性乳腺炎的病因、临床表现、诊断方法、掌握治疗和预防方法</w:t>
            </w:r>
          </w:p>
          <w:p w14:paraId="6262763F"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⑤掌握胸部损伤的病理生理和急救处理原则</w:t>
            </w:r>
          </w:p>
          <w:p w14:paraId="765F39CE"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十三）腹部疾病</w:t>
            </w:r>
          </w:p>
          <w:p w14:paraId="3E399BC2"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①掌握腹股沟手术修补的基</w:t>
            </w:r>
            <w:r>
              <w:rPr>
                <w:rFonts w:ascii="仿宋_GB2312" w:eastAsia="仿宋_GB2312" w:hAnsi="仿宋_GB2312" w:cs="仿宋_GB2312" w:hint="eastAsia"/>
                <w:color w:val="000000"/>
                <w:szCs w:val="21"/>
              </w:rPr>
              <w:lastRenderedPageBreak/>
              <w:t>本原则</w:t>
            </w:r>
          </w:p>
          <w:p w14:paraId="43192822"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②熟悉股疝的概念，鉴别诊断及手术修补原则</w:t>
            </w:r>
          </w:p>
          <w:p w14:paraId="37258535"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③了解腹部闭合性损伤的诊断步骤</w:t>
            </w:r>
          </w:p>
          <w:p w14:paraId="35740876"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④熟悉腹部闭合性损伤的辅助诊断方法及鉴别诊断</w:t>
            </w:r>
          </w:p>
          <w:p w14:paraId="3F757846"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⑤熟悉急性继发性、弥漫性腹膜炎的病因及临床表现</w:t>
            </w:r>
          </w:p>
          <w:p w14:paraId="1893F45E"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⑥了解腹腔脓肿的临床表现及诊断</w:t>
            </w:r>
          </w:p>
          <w:p w14:paraId="7F1272F1"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⑦了解胃十二指肠溃疡的发病机制</w:t>
            </w:r>
          </w:p>
          <w:p w14:paraId="01D07B9E"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⑧了解胃十二直肠溃疡手术后的主要并发症的防治</w:t>
            </w:r>
          </w:p>
          <w:p w14:paraId="36231DD0" w14:textId="77777777" w:rsidR="00000000" w:rsidRDefault="00000000">
            <w:pPr>
              <w:autoSpaceDE w:val="0"/>
              <w:autoSpaceDN w:val="0"/>
              <w:spacing w:line="460" w:lineRule="atLeast"/>
              <w:ind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⑨掌握急性胆囊炎、胆囊结石、胆管结石和急性化脓性胆管炎的临床表现，诊断及治疗原则</w:t>
            </w:r>
          </w:p>
          <w:p w14:paraId="7C3B7D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816" w:type="dxa"/>
            <w:vAlign w:val="center"/>
          </w:tcPr>
          <w:p w14:paraId="115D6A6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7C8492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提问</w:t>
            </w:r>
          </w:p>
          <w:p w14:paraId="69AA9B6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5117C60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814188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测验</w:t>
            </w:r>
          </w:p>
          <w:p w14:paraId="55FE297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28AABE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CF2852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书面</w:t>
            </w:r>
          </w:p>
          <w:p w14:paraId="2EEC06A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作业</w:t>
            </w:r>
          </w:p>
          <w:p w14:paraId="2FC7554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0D1FA29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1AD693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4AA9EE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09ECCA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p w14:paraId="471ECAA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报告</w:t>
            </w:r>
          </w:p>
          <w:p w14:paraId="0350952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4575B22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绘图</w:t>
            </w:r>
          </w:p>
        </w:tc>
        <w:tc>
          <w:tcPr>
            <w:tcW w:w="1139" w:type="dxa"/>
            <w:vAlign w:val="center"/>
          </w:tcPr>
          <w:p w14:paraId="4F4097F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7C1239F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6245A54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24E2364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15496FC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理论讲授与实验操作</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一体化</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教学</w:t>
            </w:r>
          </w:p>
          <w:p w14:paraId="3D51F6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课堂讨论</w:t>
            </w:r>
          </w:p>
          <w:p w14:paraId="0C625C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多媒体</w:t>
            </w:r>
          </w:p>
          <w:p w14:paraId="347B297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数码互动教学系统</w:t>
            </w:r>
          </w:p>
        </w:tc>
        <w:tc>
          <w:tcPr>
            <w:tcW w:w="641" w:type="dxa"/>
            <w:vAlign w:val="center"/>
          </w:tcPr>
          <w:p w14:paraId="73F2CF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 xml:space="preserve">　６</w:t>
            </w:r>
          </w:p>
        </w:tc>
        <w:tc>
          <w:tcPr>
            <w:tcW w:w="525" w:type="dxa"/>
            <w:vAlign w:val="center"/>
          </w:tcPr>
          <w:p w14:paraId="450901E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p w14:paraId="059B489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70E9DDFB" w14:textId="77777777">
        <w:trPr>
          <w:trHeight w:val="238"/>
          <w:jc w:val="center"/>
        </w:trPr>
        <w:tc>
          <w:tcPr>
            <w:tcW w:w="1405" w:type="dxa"/>
            <w:gridSpan w:val="2"/>
          </w:tcPr>
          <w:p w14:paraId="07724E2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 xml:space="preserve">  </w:t>
            </w:r>
            <w:r>
              <w:rPr>
                <w:rFonts w:ascii="仿宋_GB2312" w:eastAsia="仿宋_GB2312" w:hAnsi="仿宋_GB2312" w:cs="仿宋_GB2312" w:hint="eastAsia"/>
                <w:color w:val="000000"/>
                <w:szCs w:val="21"/>
              </w:rPr>
              <w:t>合计</w:t>
            </w:r>
            <w:r>
              <w:rPr>
                <w:rFonts w:ascii="仿宋_GB2312" w:eastAsia="仿宋_GB2312" w:hAnsi="仿宋_GB2312" w:cs="仿宋_GB2312"/>
                <w:color w:val="000000"/>
                <w:szCs w:val="21"/>
              </w:rPr>
              <w:t>90</w:t>
            </w:r>
          </w:p>
        </w:tc>
        <w:tc>
          <w:tcPr>
            <w:tcW w:w="7050" w:type="dxa"/>
            <w:gridSpan w:val="4"/>
          </w:tcPr>
          <w:p w14:paraId="472D4CD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641" w:type="dxa"/>
          </w:tcPr>
          <w:p w14:paraId="2FEAAF8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58</w:t>
            </w:r>
          </w:p>
        </w:tc>
        <w:tc>
          <w:tcPr>
            <w:tcW w:w="525" w:type="dxa"/>
          </w:tcPr>
          <w:p w14:paraId="595D71F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32</w:t>
            </w:r>
          </w:p>
        </w:tc>
      </w:tr>
    </w:tbl>
    <w:p w14:paraId="56F5CA70" w14:textId="77777777" w:rsidR="00000000" w:rsidRDefault="00000000">
      <w:pPr>
        <w:spacing w:line="460" w:lineRule="atLeast"/>
        <w:ind w:firstLineChars="150" w:firstLine="360"/>
        <w:jc w:val="left"/>
        <w:rPr>
          <w:rFonts w:ascii="黑体" w:eastAsia="黑体" w:hAnsi="黑体"/>
          <w:sz w:val="24"/>
        </w:rPr>
      </w:pPr>
      <w:r>
        <w:rPr>
          <w:rFonts w:ascii="黑体" w:eastAsia="黑体" w:hAnsi="黑体" w:hint="eastAsia"/>
          <w:sz w:val="24"/>
        </w:rPr>
        <w:t>四、实施建议</w:t>
      </w:r>
    </w:p>
    <w:p w14:paraId="2E640607"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（一）课程教学实施建议</w:t>
      </w:r>
    </w:p>
    <w:p w14:paraId="4E47FE21"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教学模式</w:t>
      </w:r>
    </w:p>
    <w:p w14:paraId="3AED0BAF"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在教学过程称始终坚持：理论联系实际、形态联系机能、基础联系临床的教学原则。根据《医学基础》的学科特点，以职业教育的基</w:t>
      </w:r>
      <w:r>
        <w:rPr>
          <w:rFonts w:ascii="仿宋_GB2312" w:eastAsia="仿宋_GB2312" w:hint="eastAsia"/>
          <w:sz w:val="28"/>
          <w:szCs w:val="28"/>
        </w:rPr>
        <w:lastRenderedPageBreak/>
        <w:t>本理念为出发点，以问题、项目或任务为中心，在理论教学与实践教学中，保持学习与实际岗位群工作的统一性。根据教学内容的不同，采取“基于问题导向”教学模式，坚持学生为主体、教师为主导的理念，充分调动学生学习积极性，培养学生的自主学习能力、分析能力及团队协作能力，全面提高学生的综合素质，达成相应教学目标。</w:t>
      </w:r>
    </w:p>
    <w:p w14:paraId="32E60E4B" w14:textId="77777777" w:rsidR="00000000" w:rsidRDefault="00000000">
      <w:pPr>
        <w:spacing w:line="460" w:lineRule="atLeas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教学方法</w:t>
      </w:r>
    </w:p>
    <w:p w14:paraId="3EBF254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⑴启发式讲授法：</w:t>
      </w:r>
    </w:p>
    <w:p w14:paraId="4606841D"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教师在讲课的过程中，对于学生利用已有的知识可以做出判断或解释的问题，尽量启发学生主动思考和回答。学生回答问题时更多的是通过思考而不是通过记忆来回答，形成师生互动的良好教学氛围。</w:t>
      </w:r>
    </w:p>
    <w:p w14:paraId="03072C86"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⑵讨论式教学方法：</w:t>
      </w:r>
    </w:p>
    <w:p w14:paraId="4543B7F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教学中引入临床病例讨论分析就是一个很好的讨论式教学过程。让学生首先围绕思考题开展讨论、发表意见，最后教师再进行分析归纳总结，这种方式不仅节省了以往讲课时教师必须复习相关的基础知识的时间，而且学生感兴趣，参与的积极性高，能激发学生学习的积极性，促进学生主动预习，培养了学生自主学习的能力、分析问题能力、解决问题能力和团队协作能力，使学生的综合素质得到了提高，同时通过分组讨论也让学生之间充分切磋、取长补短。</w:t>
      </w:r>
    </w:p>
    <w:p w14:paraId="51F4794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⑶导入式教学法：</w:t>
      </w:r>
    </w:p>
    <w:p w14:paraId="2ADDC31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在学习新的理论知识前，教师通常会给学生提出与该知识相关的在日常生活中较常见的小案例，学生会对接下来的学习内容充满强烈的好奇心，注意力也比较集中，从而激发学生强烈的求知欲，进而为</w:t>
      </w:r>
      <w:r>
        <w:rPr>
          <w:rFonts w:ascii="仿宋_GB2312" w:eastAsia="仿宋_GB2312" w:hint="eastAsia"/>
          <w:sz w:val="28"/>
          <w:szCs w:val="28"/>
        </w:rPr>
        <w:lastRenderedPageBreak/>
        <w:t>本次课程创造良好的学习氛围。</w:t>
      </w:r>
    </w:p>
    <w:p w14:paraId="1892B7A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⑷演示教学法：</w:t>
      </w:r>
    </w:p>
    <w:p w14:paraId="4F9B66A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在实验教学中，教师边演示，边讲解操作要点、注意事项及对标本的观察方法，使学生对操作有一个整体印象，并很快能按照要求进行操作练习。本课程是门应用性强，介于基础与临床之间的桥梁学科，为了达到本课程的教学目标，课程组的全体教师不断探索和改革教学方法与手段，在教学过程中针对不同的教学内容（病理解剖学的内容以形态变化为主、病理生理学的内容侧重机能变化），灵活采用不同的教学方法，做到因材施教，以求达到最佳的教学效果。</w:t>
      </w:r>
    </w:p>
    <w:p w14:paraId="17BD828A"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学习指导</w:t>
      </w:r>
    </w:p>
    <w:p w14:paraId="5C459D4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为了适应人才培养的需求，紧紧围绕专业培养目标，在教学过程我们始终因人、因材施教。由于《医学基础》内容中有大量抽象的概念和复杂的病理变化，学生难以理解。如何指导学生学好、学会并能把本课程知识应用于后续课程的学习及临床工作是关键。就要发挥教师的主导作用，充分调动学生的主观能动性，贯彻理论联系实际、形态联系机能、基础联系临床的原则，引导学生将患病机体器官、组织的形态学改变与功能、代谢的动态变化进行有机结合，使学生对患病机体的病理变化有一个完整的认识。同时适当增加了病例讨论的内容，通过对典型病例的临床表现和病变特点的综合分析，引导学生把所学过的《医学基础》知识系统地结合起来，并为后续专业课的学习打下坚实的基础。在实验课中则以学生自己动手观察、操作为主。教师指导和解答学生在实验中提出问题，最后进行点评和总结。</w:t>
      </w:r>
    </w:p>
    <w:p w14:paraId="75AEBE7F"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lastRenderedPageBreak/>
        <w:t xml:space="preserve">    4.</w:t>
      </w:r>
      <w:r>
        <w:rPr>
          <w:rFonts w:ascii="仿宋_GB2312" w:eastAsia="仿宋_GB2312" w:hint="eastAsia"/>
          <w:sz w:val="28"/>
          <w:szCs w:val="28"/>
        </w:rPr>
        <w:t>学生在学习《医学基础》时，应注意以下几点。</w:t>
      </w:r>
    </w:p>
    <w:p w14:paraId="4BCEFFF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）准确理解重要的《医学基础》中的医学名词。</w:t>
      </w:r>
    </w:p>
    <w:p w14:paraId="5F3E0A2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）能够描述重要的基本病变特点。</w:t>
      </w:r>
    </w:p>
    <w:p w14:paraId="6A197F0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3</w:t>
      </w:r>
      <w:r>
        <w:rPr>
          <w:rFonts w:ascii="仿宋_GB2312" w:eastAsia="仿宋_GB2312" w:hint="eastAsia"/>
          <w:sz w:val="28"/>
          <w:szCs w:val="28"/>
        </w:rPr>
        <w:t>）较熟练应用《医学基础》知识解释常见疾病的临床表现。</w:t>
      </w:r>
    </w:p>
    <w:p w14:paraId="6F2BBE4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4</w:t>
      </w:r>
      <w:r>
        <w:rPr>
          <w:rFonts w:ascii="仿宋_GB2312" w:eastAsia="仿宋_GB2312" w:hint="eastAsia"/>
          <w:sz w:val="28"/>
          <w:szCs w:val="28"/>
        </w:rPr>
        <w:t>）课前预习，课后复习。</w:t>
      </w:r>
    </w:p>
    <w:p w14:paraId="7C2ECE1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5</w:t>
      </w:r>
      <w:r>
        <w:rPr>
          <w:rFonts w:ascii="仿宋_GB2312" w:eastAsia="仿宋_GB2312" w:hint="eastAsia"/>
          <w:sz w:val="28"/>
          <w:szCs w:val="28"/>
        </w:rPr>
        <w:t>）经常归纳总结，并多做习题。</w:t>
      </w:r>
    </w:p>
    <w:p w14:paraId="2AA4C8E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（二）课程考核评价建议</w:t>
      </w:r>
    </w:p>
    <w:p w14:paraId="0EBB441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考核性质：考试课。</w:t>
      </w:r>
    </w:p>
    <w:p w14:paraId="412F2255"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考核方式：改革传统的评价方法，建立过程评价和期末终结性考核评价相结合的学生学习评价方法。</w:t>
      </w:r>
    </w:p>
    <w:p w14:paraId="4844EEC5"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）终结性考核：即理论考核，考核在课程教学结束后进行，采用闭卷、笔试的形式。以百分制评分，</w:t>
      </w:r>
      <w:r>
        <w:rPr>
          <w:rFonts w:ascii="仿宋_GB2312" w:eastAsia="仿宋_GB2312"/>
          <w:sz w:val="28"/>
          <w:szCs w:val="28"/>
        </w:rPr>
        <w:t>60</w:t>
      </w:r>
      <w:r>
        <w:rPr>
          <w:rFonts w:ascii="仿宋_GB2312" w:eastAsia="仿宋_GB2312" w:hint="eastAsia"/>
          <w:sz w:val="28"/>
          <w:szCs w:val="28"/>
        </w:rPr>
        <w:t>分为及格，满分为</w:t>
      </w:r>
      <w:r>
        <w:rPr>
          <w:rFonts w:ascii="仿宋_GB2312" w:eastAsia="仿宋_GB2312"/>
          <w:sz w:val="28"/>
          <w:szCs w:val="28"/>
        </w:rPr>
        <w:t>100</w:t>
      </w:r>
      <w:r>
        <w:rPr>
          <w:rFonts w:ascii="仿宋_GB2312" w:eastAsia="仿宋_GB2312" w:hint="eastAsia"/>
          <w:sz w:val="28"/>
          <w:szCs w:val="28"/>
        </w:rPr>
        <w:t>分，理论考试按照“教考分离”的原则，占总成绩的</w:t>
      </w:r>
      <w:r>
        <w:rPr>
          <w:rFonts w:ascii="仿宋_GB2312" w:eastAsia="仿宋_GB2312"/>
          <w:sz w:val="28"/>
          <w:szCs w:val="28"/>
        </w:rPr>
        <w:t>70%</w:t>
      </w:r>
      <w:r>
        <w:rPr>
          <w:rFonts w:ascii="仿宋_GB2312" w:eastAsia="仿宋_GB2312" w:hint="eastAsia"/>
          <w:sz w:val="28"/>
          <w:szCs w:val="28"/>
        </w:rPr>
        <w:t>，命题时严格实行考教分离，采用流水方式阅卷。题型包括选择、名词解释、填空、是非判断、问答、论述题（或病例分析等），选择题</w:t>
      </w:r>
      <w:r>
        <w:rPr>
          <w:rFonts w:ascii="仿宋_GB2312" w:eastAsia="仿宋_GB2312"/>
          <w:sz w:val="28"/>
          <w:szCs w:val="28"/>
        </w:rPr>
        <w:t>40%</w:t>
      </w:r>
      <w:r>
        <w:rPr>
          <w:rFonts w:ascii="仿宋_GB2312" w:eastAsia="仿宋_GB2312" w:hint="eastAsia"/>
          <w:sz w:val="28"/>
          <w:szCs w:val="28"/>
        </w:rPr>
        <w:t>、名词解释</w:t>
      </w:r>
      <w:r>
        <w:rPr>
          <w:rFonts w:ascii="仿宋_GB2312" w:eastAsia="仿宋_GB2312"/>
          <w:sz w:val="28"/>
          <w:szCs w:val="28"/>
        </w:rPr>
        <w:t>9%</w:t>
      </w:r>
      <w:r>
        <w:rPr>
          <w:rFonts w:ascii="仿宋_GB2312" w:eastAsia="仿宋_GB2312" w:hint="eastAsia"/>
          <w:sz w:val="28"/>
          <w:szCs w:val="28"/>
        </w:rPr>
        <w:t>、填空题</w:t>
      </w:r>
      <w:r>
        <w:rPr>
          <w:rFonts w:ascii="仿宋_GB2312" w:eastAsia="仿宋_GB2312"/>
          <w:sz w:val="28"/>
          <w:szCs w:val="28"/>
        </w:rPr>
        <w:t>15%</w:t>
      </w:r>
      <w:r>
        <w:rPr>
          <w:rFonts w:ascii="仿宋_GB2312" w:eastAsia="仿宋_GB2312" w:hint="eastAsia"/>
          <w:sz w:val="28"/>
          <w:szCs w:val="28"/>
        </w:rPr>
        <w:t>、是非题</w:t>
      </w:r>
      <w:r>
        <w:rPr>
          <w:rFonts w:ascii="仿宋_GB2312" w:eastAsia="仿宋_GB2312"/>
          <w:sz w:val="28"/>
          <w:szCs w:val="28"/>
        </w:rPr>
        <w:t>10%</w:t>
      </w:r>
      <w:r>
        <w:rPr>
          <w:rFonts w:ascii="仿宋_GB2312" w:eastAsia="仿宋_GB2312" w:hint="eastAsia"/>
          <w:sz w:val="28"/>
          <w:szCs w:val="28"/>
        </w:rPr>
        <w:t>、简答题</w:t>
      </w:r>
      <w:r>
        <w:rPr>
          <w:rFonts w:ascii="仿宋_GB2312" w:eastAsia="仿宋_GB2312"/>
          <w:sz w:val="28"/>
          <w:szCs w:val="28"/>
        </w:rPr>
        <w:t>12%</w:t>
      </w:r>
      <w:r>
        <w:rPr>
          <w:rFonts w:ascii="仿宋_GB2312" w:eastAsia="仿宋_GB2312" w:hint="eastAsia"/>
          <w:sz w:val="28"/>
          <w:szCs w:val="28"/>
        </w:rPr>
        <w:t>、论述题</w:t>
      </w:r>
      <w:r>
        <w:rPr>
          <w:rFonts w:ascii="仿宋_GB2312" w:eastAsia="仿宋_GB2312"/>
          <w:sz w:val="28"/>
          <w:szCs w:val="28"/>
        </w:rPr>
        <w:t>14%</w:t>
      </w:r>
      <w:r>
        <w:rPr>
          <w:rFonts w:ascii="仿宋_GB2312" w:eastAsia="仿宋_GB2312" w:hint="eastAsia"/>
          <w:sz w:val="28"/>
          <w:szCs w:val="28"/>
        </w:rPr>
        <w:t>。</w:t>
      </w:r>
    </w:p>
    <w:p w14:paraId="1788D7E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）过程性考核：即平时考评包括出勤、课堂提问、测验、作业、实验报告、学习态度等，占总成绩的</w:t>
      </w:r>
      <w:r>
        <w:rPr>
          <w:rFonts w:ascii="仿宋_GB2312" w:eastAsia="仿宋_GB2312"/>
          <w:sz w:val="28"/>
          <w:szCs w:val="28"/>
        </w:rPr>
        <w:t>30%</w:t>
      </w:r>
      <w:r>
        <w:rPr>
          <w:rFonts w:ascii="仿宋_GB2312" w:eastAsia="仿宋_GB2312" w:hint="eastAsia"/>
          <w:sz w:val="28"/>
          <w:szCs w:val="28"/>
        </w:rPr>
        <w:t>，由课程主讲教师期末综合评定。</w:t>
      </w:r>
    </w:p>
    <w:p w14:paraId="77CEA42F"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考核要点</w:t>
      </w:r>
    </w:p>
    <w:p w14:paraId="4D7D89EC"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按照本课程要求的学习目标进行考核。</w:t>
      </w:r>
    </w:p>
    <w:p w14:paraId="6420FD7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（三）教材选编的原则和建议</w:t>
      </w:r>
    </w:p>
    <w:p w14:paraId="60A8E385"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lastRenderedPageBreak/>
        <w:t>1.</w:t>
      </w:r>
      <w:r>
        <w:rPr>
          <w:rFonts w:ascii="仿宋_GB2312" w:eastAsia="仿宋_GB2312" w:hint="eastAsia"/>
          <w:sz w:val="28"/>
          <w:szCs w:val="28"/>
        </w:rPr>
        <w:t>理论教材选用全国老年人服务与管理类高职高专“十二五”规划教材《病理学》</w:t>
      </w:r>
      <w:r>
        <w:rPr>
          <w:rFonts w:ascii="仿宋_GB2312" w:eastAsia="仿宋_GB2312"/>
          <w:sz w:val="28"/>
          <w:szCs w:val="28"/>
        </w:rPr>
        <w:t xml:space="preserve">. </w:t>
      </w:r>
      <w:r>
        <w:rPr>
          <w:rFonts w:ascii="仿宋_GB2312" w:eastAsia="仿宋_GB2312" w:hint="eastAsia"/>
          <w:sz w:val="28"/>
          <w:szCs w:val="28"/>
        </w:rPr>
        <w:t>2009.7.1，主编医疗卫生系统招考通用教材写组，人民出版社出版社。按照够用、实用、适度的原则选取教学内容。</w:t>
      </w:r>
      <w:r>
        <w:rPr>
          <w:rFonts w:ascii="仿宋_GB2312" w:eastAsia="仿宋_GB2312"/>
          <w:sz w:val="28"/>
          <w:szCs w:val="28"/>
        </w:rPr>
        <w:t xml:space="preserve"> </w:t>
      </w:r>
    </w:p>
    <w:p w14:paraId="4A2D59F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（四）教学及实习设备配置建议</w:t>
      </w:r>
    </w:p>
    <w:p w14:paraId="48E1C4E7"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医学形态学实验室</w:t>
      </w:r>
    </w:p>
    <w:p w14:paraId="184BC02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现有医学形态学实验室</w:t>
      </w:r>
      <w:r>
        <w:rPr>
          <w:rFonts w:ascii="仿宋_GB2312" w:eastAsia="仿宋_GB2312"/>
          <w:sz w:val="28"/>
          <w:szCs w:val="28"/>
        </w:rPr>
        <w:t>3</w:t>
      </w:r>
      <w:r>
        <w:rPr>
          <w:rFonts w:ascii="仿宋_GB2312" w:eastAsia="仿宋_GB2312" w:hint="eastAsia"/>
          <w:sz w:val="28"/>
          <w:szCs w:val="28"/>
        </w:rPr>
        <w:t>间，包括大体标本陈列室</w:t>
      </w:r>
      <w:r>
        <w:rPr>
          <w:rFonts w:ascii="仿宋_GB2312" w:eastAsia="仿宋_GB2312"/>
          <w:sz w:val="28"/>
          <w:szCs w:val="28"/>
        </w:rPr>
        <w:t>1</w:t>
      </w:r>
      <w:r>
        <w:rPr>
          <w:rFonts w:ascii="仿宋_GB2312" w:eastAsia="仿宋_GB2312" w:hint="eastAsia"/>
          <w:sz w:val="28"/>
          <w:szCs w:val="28"/>
        </w:rPr>
        <w:t>个，</w:t>
      </w:r>
      <w:r>
        <w:rPr>
          <w:rFonts w:ascii="仿宋_GB2312" w:eastAsia="仿宋_GB2312"/>
          <w:sz w:val="28"/>
          <w:szCs w:val="28"/>
        </w:rPr>
        <w:t>motic</w:t>
      </w:r>
      <w:r>
        <w:rPr>
          <w:rFonts w:ascii="仿宋_GB2312" w:eastAsia="仿宋_GB2312" w:hint="eastAsia"/>
          <w:sz w:val="28"/>
          <w:szCs w:val="28"/>
        </w:rPr>
        <w:t>显微数码互动教学室</w:t>
      </w:r>
      <w:r>
        <w:rPr>
          <w:rFonts w:ascii="仿宋_GB2312" w:eastAsia="仿宋_GB2312"/>
          <w:sz w:val="28"/>
          <w:szCs w:val="28"/>
        </w:rPr>
        <w:t>2</w:t>
      </w:r>
      <w:r>
        <w:rPr>
          <w:rFonts w:ascii="仿宋_GB2312" w:eastAsia="仿宋_GB2312" w:hint="eastAsia"/>
          <w:sz w:val="28"/>
          <w:szCs w:val="28"/>
        </w:rPr>
        <w:t>个。大体标本陈列室共有大体标本</w:t>
      </w:r>
      <w:r>
        <w:rPr>
          <w:rFonts w:ascii="仿宋_GB2312" w:eastAsia="仿宋_GB2312"/>
          <w:sz w:val="28"/>
          <w:szCs w:val="28"/>
        </w:rPr>
        <w:t>150</w:t>
      </w:r>
      <w:r>
        <w:rPr>
          <w:rFonts w:ascii="仿宋_GB2312" w:eastAsia="仿宋_GB2312" w:hint="eastAsia"/>
          <w:sz w:val="28"/>
          <w:szCs w:val="28"/>
        </w:rPr>
        <w:t>多个，显微镜</w:t>
      </w:r>
      <w:r>
        <w:rPr>
          <w:rFonts w:ascii="仿宋_GB2312" w:eastAsia="仿宋_GB2312"/>
          <w:sz w:val="28"/>
          <w:szCs w:val="28"/>
        </w:rPr>
        <w:t>100</w:t>
      </w:r>
      <w:r>
        <w:rPr>
          <w:rFonts w:ascii="仿宋_GB2312" w:eastAsia="仿宋_GB2312" w:hint="eastAsia"/>
          <w:sz w:val="28"/>
          <w:szCs w:val="28"/>
        </w:rPr>
        <w:t>余台，每节课基本可满足</w:t>
      </w:r>
      <w:r>
        <w:rPr>
          <w:rFonts w:ascii="仿宋_GB2312" w:eastAsia="仿宋_GB2312"/>
          <w:sz w:val="28"/>
          <w:szCs w:val="28"/>
        </w:rPr>
        <w:t>100</w:t>
      </w:r>
      <w:r>
        <w:rPr>
          <w:rFonts w:ascii="仿宋_GB2312" w:eastAsia="仿宋_GB2312" w:hint="eastAsia"/>
          <w:sz w:val="28"/>
          <w:szCs w:val="28"/>
        </w:rPr>
        <w:t>位学生同时上课。</w:t>
      </w:r>
    </w:p>
    <w:p w14:paraId="2D16DFF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教学仪器设备</w:t>
      </w:r>
      <w:r>
        <w:rPr>
          <w:rFonts w:ascii="仿宋_GB2312" w:eastAsia="仿宋_GB2312"/>
          <w:sz w:val="28"/>
          <w:szCs w:val="28"/>
        </w:rPr>
        <w:t xml:space="preserve"> </w:t>
      </w:r>
    </w:p>
    <w:p w14:paraId="619B247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病理学的授课是以形态学为基础，为了保证理论与实验一体化教学，满足同学们的学习积极性，病理教研室配备有</w:t>
      </w:r>
      <w:r>
        <w:rPr>
          <w:rFonts w:ascii="仿宋_GB2312" w:eastAsia="仿宋_GB2312"/>
          <w:sz w:val="28"/>
          <w:szCs w:val="28"/>
        </w:rPr>
        <w:t>motic</w:t>
      </w:r>
      <w:r>
        <w:rPr>
          <w:rFonts w:ascii="仿宋_GB2312" w:eastAsia="仿宋_GB2312" w:hint="eastAsia"/>
          <w:sz w:val="28"/>
          <w:szCs w:val="28"/>
        </w:rPr>
        <w:t>显微数码互动教学室</w:t>
      </w:r>
      <w:r>
        <w:rPr>
          <w:rFonts w:ascii="仿宋_GB2312" w:eastAsia="仿宋_GB2312"/>
          <w:sz w:val="28"/>
          <w:szCs w:val="28"/>
        </w:rPr>
        <w:t>2</w:t>
      </w:r>
      <w:r>
        <w:rPr>
          <w:rFonts w:ascii="仿宋_GB2312" w:eastAsia="仿宋_GB2312" w:hint="eastAsia"/>
          <w:sz w:val="28"/>
          <w:szCs w:val="28"/>
        </w:rPr>
        <w:t>个，投影仪</w:t>
      </w:r>
      <w:r>
        <w:rPr>
          <w:rFonts w:ascii="仿宋_GB2312" w:eastAsia="仿宋_GB2312"/>
          <w:sz w:val="28"/>
          <w:szCs w:val="28"/>
        </w:rPr>
        <w:t>2</w:t>
      </w:r>
      <w:r>
        <w:rPr>
          <w:rFonts w:ascii="仿宋_GB2312" w:eastAsia="仿宋_GB2312" w:hint="eastAsia"/>
          <w:sz w:val="28"/>
          <w:szCs w:val="28"/>
        </w:rPr>
        <w:t>部，另外教师还自备有</w:t>
      </w:r>
      <w:r>
        <w:rPr>
          <w:rFonts w:ascii="仿宋_GB2312" w:eastAsia="仿宋_GB2312"/>
          <w:sz w:val="28"/>
          <w:szCs w:val="28"/>
        </w:rPr>
        <w:t>U</w:t>
      </w:r>
      <w:r>
        <w:rPr>
          <w:rFonts w:ascii="仿宋_GB2312" w:eastAsia="仿宋_GB2312" w:hint="eastAsia"/>
          <w:sz w:val="28"/>
          <w:szCs w:val="28"/>
        </w:rPr>
        <w:t>盘、电教</w:t>
      </w:r>
      <w:r>
        <w:rPr>
          <w:rFonts w:ascii="仿宋_GB2312" w:eastAsia="仿宋_GB2312"/>
          <w:sz w:val="28"/>
          <w:szCs w:val="28"/>
        </w:rPr>
        <w:t>VCD</w:t>
      </w:r>
      <w:r>
        <w:rPr>
          <w:rFonts w:ascii="仿宋_GB2312" w:eastAsia="仿宋_GB2312" w:hint="eastAsia"/>
          <w:sz w:val="28"/>
          <w:szCs w:val="28"/>
        </w:rPr>
        <w:t>授课录像、影像输出设备如电视等。</w:t>
      </w:r>
    </w:p>
    <w:p w14:paraId="17D25D8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充分利用校内实训基地。我院病理实验室资源丰富，包括大体标本，组织切片及</w:t>
      </w:r>
      <w:r>
        <w:rPr>
          <w:rFonts w:ascii="仿宋_GB2312" w:eastAsia="仿宋_GB2312"/>
          <w:sz w:val="28"/>
          <w:szCs w:val="28"/>
        </w:rPr>
        <w:t>motic</w:t>
      </w:r>
      <w:r>
        <w:rPr>
          <w:rFonts w:ascii="仿宋_GB2312" w:eastAsia="仿宋_GB2312" w:hint="eastAsia"/>
          <w:sz w:val="28"/>
          <w:szCs w:val="28"/>
        </w:rPr>
        <w:t>显微数码互动教学系统。培养学员独立观察、综合分析病变的能力。引导学员用整体和发展的观点去分析所观察到的病理变化，以增强理论与实践的结合，提高和巩固对理论的认识，组织切片实验中，要求学员绘图、描述。大体标本的观察和组织切片的观察也是医学生必须掌握的基本技能。</w:t>
      </w:r>
    </w:p>
    <w:p w14:paraId="7C5B6A72"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条件具备的情况下利用课外时间参观我院附属医院病理科一次，了解组织切片的制作过程与方法，激发学员的学习兴趣与积极性。</w:t>
      </w:r>
    </w:p>
    <w:p w14:paraId="5A0F8628" w14:textId="77777777" w:rsidR="00000000" w:rsidRDefault="00000000">
      <w:pPr>
        <w:spacing w:line="460" w:lineRule="atLeast"/>
        <w:rPr>
          <w:rFonts w:ascii="仿宋_GB2312" w:eastAsia="仿宋_GB2312"/>
          <w:sz w:val="28"/>
          <w:szCs w:val="28"/>
        </w:rPr>
      </w:pPr>
      <w:r>
        <w:rPr>
          <w:rFonts w:ascii="仿宋_GB2312" w:eastAsia="仿宋_GB2312" w:hint="eastAsia"/>
          <w:sz w:val="28"/>
          <w:szCs w:val="28"/>
        </w:rPr>
        <w:t>（五）课程资源开发与利用的计划和建议</w:t>
      </w:r>
    </w:p>
    <w:p w14:paraId="209A985B" w14:textId="77777777" w:rsidR="00000000" w:rsidRDefault="00000000">
      <w:pPr>
        <w:spacing w:line="460" w:lineRule="atLeast"/>
        <w:ind w:firstLineChars="100" w:firstLine="280"/>
        <w:rPr>
          <w:rFonts w:ascii="仿宋_GB2312" w:eastAsia="仿宋_GB2312"/>
          <w:sz w:val="28"/>
          <w:szCs w:val="28"/>
        </w:rPr>
      </w:pPr>
      <w:r>
        <w:rPr>
          <w:rFonts w:ascii="仿宋_GB2312" w:eastAsia="仿宋_GB2312"/>
          <w:sz w:val="28"/>
          <w:szCs w:val="28"/>
        </w:rPr>
        <w:lastRenderedPageBreak/>
        <w:t xml:space="preserve"> 1.</w:t>
      </w:r>
      <w:r>
        <w:rPr>
          <w:rFonts w:ascii="仿宋_GB2312" w:eastAsia="仿宋_GB2312" w:hint="eastAsia"/>
          <w:sz w:val="28"/>
          <w:szCs w:val="28"/>
        </w:rPr>
        <w:t>建设院内医学基础精品课程网站，提供全套多媒体课件、动画教学资源、教学录像、热点案例、习题库等丰富教学资源。不断丰富和更新课程资源，激发学生的学习兴趣，培养学生自主学习能力。</w:t>
      </w:r>
    </w:p>
    <w:p w14:paraId="65D39D25"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选择和利用优秀的病理学共享资源。</w:t>
      </w:r>
    </w:p>
    <w:p w14:paraId="0240763A"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1</w:t>
      </w:r>
      <w:r>
        <w:rPr>
          <w:rFonts w:ascii="仿宋_GB2312" w:eastAsia="仿宋_GB2312" w:hint="eastAsia"/>
          <w:sz w:val="28"/>
          <w:szCs w:val="28"/>
        </w:rPr>
        <w:t>）通过电子阅览室分享网络教学资源</w:t>
      </w:r>
    </w:p>
    <w:p w14:paraId="7E04441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sz w:val="28"/>
          <w:szCs w:val="28"/>
        </w:rPr>
        <w:t>2</w:t>
      </w:r>
      <w:r>
        <w:rPr>
          <w:rFonts w:ascii="仿宋_GB2312" w:eastAsia="仿宋_GB2312" w:hint="eastAsia"/>
          <w:sz w:val="28"/>
          <w:szCs w:val="28"/>
        </w:rPr>
        <w:t>）媒体教学资源</w:t>
      </w:r>
    </w:p>
    <w:p w14:paraId="04B623D2"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①</w:t>
      </w:r>
      <w:r>
        <w:rPr>
          <w:rFonts w:ascii="仿宋_GB2312" w:eastAsia="仿宋_GB2312"/>
          <w:sz w:val="28"/>
          <w:szCs w:val="28"/>
        </w:rPr>
        <w:t xml:space="preserve"> </w:t>
      </w:r>
      <w:r>
        <w:rPr>
          <w:rFonts w:ascii="仿宋_GB2312" w:eastAsia="仿宋_GB2312" w:hint="eastAsia"/>
          <w:sz w:val="28"/>
          <w:szCs w:val="28"/>
        </w:rPr>
        <w:t>教学课件</w:t>
      </w:r>
    </w:p>
    <w:p w14:paraId="5A88EF80"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②</w:t>
      </w:r>
      <w:r>
        <w:rPr>
          <w:rFonts w:ascii="仿宋_GB2312" w:eastAsia="仿宋_GB2312"/>
          <w:sz w:val="28"/>
          <w:szCs w:val="28"/>
        </w:rPr>
        <w:t xml:space="preserve"> </w:t>
      </w:r>
      <w:r>
        <w:rPr>
          <w:rFonts w:ascii="仿宋_GB2312" w:eastAsia="仿宋_GB2312" w:hint="eastAsia"/>
          <w:sz w:val="28"/>
          <w:szCs w:val="28"/>
        </w:rPr>
        <w:t>教学光盘</w:t>
      </w:r>
    </w:p>
    <w:p w14:paraId="5258F4E4"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开放实验室，采取计划式开放和择期式开放。计划式开放：依照教学计划顺序安排开放，一般安排在本次实习后的第一个双休日</w:t>
      </w:r>
      <w:r>
        <w:rPr>
          <w:rFonts w:ascii="仿宋_GB2312" w:eastAsia="仿宋_GB2312"/>
          <w:sz w:val="28"/>
          <w:szCs w:val="28"/>
        </w:rPr>
        <w:t xml:space="preserve"> </w:t>
      </w:r>
      <w:r>
        <w:rPr>
          <w:rFonts w:ascii="仿宋_GB2312" w:eastAsia="仿宋_GB2312" w:hint="eastAsia"/>
          <w:sz w:val="28"/>
          <w:szCs w:val="28"/>
        </w:rPr>
        <w:t>。择期式开放：</w:t>
      </w:r>
      <w:r>
        <w:rPr>
          <w:rFonts w:ascii="仿宋_GB2312" w:eastAsia="仿宋_GB2312"/>
          <w:sz w:val="28"/>
          <w:szCs w:val="28"/>
        </w:rPr>
        <w:t xml:space="preserve"> </w:t>
      </w:r>
      <w:r>
        <w:rPr>
          <w:rFonts w:ascii="仿宋_GB2312" w:eastAsia="仿宋_GB2312" w:hint="eastAsia"/>
          <w:sz w:val="28"/>
          <w:szCs w:val="28"/>
        </w:rPr>
        <w:t>满足不同程度学生对不同内容的要求。这种开放一般在空闲双休日或节假日进行。</w:t>
      </w:r>
      <w:r>
        <w:rPr>
          <w:rFonts w:ascii="仿宋_GB2312" w:eastAsia="仿宋_GB2312"/>
          <w:sz w:val="28"/>
          <w:szCs w:val="28"/>
        </w:rPr>
        <w:t xml:space="preserve"> </w:t>
      </w:r>
      <w:r>
        <w:rPr>
          <w:rFonts w:ascii="仿宋_GB2312" w:eastAsia="仿宋_GB2312" w:hint="eastAsia"/>
          <w:sz w:val="28"/>
          <w:szCs w:val="28"/>
        </w:rPr>
        <w:t>开放实验室，能给学生以选择、创造、表现、提高的机会，从而达到实施素质教育的培养目标。开放实验室已是实验教学发展的必然趋势，可以激发学生的主观能动性，调动学生参与实验的积极性，在实验过程中提高分析问题、解决问题的能力。我们通过开放实验室，极大的促进病理学的教学工作，它补充了传统教学模式的不足，使学生从最初的被动听课到积极主动参与，实验课从不愿意上到不愿意走，发生了本质的变化。</w:t>
      </w:r>
    </w:p>
    <w:p w14:paraId="39B79E2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4.</w:t>
      </w:r>
      <w:r>
        <w:rPr>
          <w:rFonts w:ascii="仿宋_GB2312" w:eastAsia="仿宋_GB2312" w:hint="eastAsia"/>
          <w:sz w:val="28"/>
          <w:szCs w:val="28"/>
        </w:rPr>
        <w:t>加强“双师型教师”的培养。学院应考虑为每位教师提供与时俱进、不断提高的平台，每年定期派送教师出外学习，使知识与技能不断更新，为我院培养和建设一支具有广博的人文知识、精湛的专业水平、丰富的实践经验、为人师表的风范、精干果断作风的教师队伍，</w:t>
      </w:r>
      <w:r>
        <w:rPr>
          <w:rFonts w:ascii="仿宋_GB2312" w:eastAsia="仿宋_GB2312" w:hint="eastAsia"/>
          <w:sz w:val="28"/>
          <w:szCs w:val="28"/>
        </w:rPr>
        <w:lastRenderedPageBreak/>
        <w:t>将对学生的成材成人起到直接指导和潜移默化的影响。</w:t>
      </w:r>
    </w:p>
    <w:p w14:paraId="543C0BE6" w14:textId="77777777" w:rsidR="00000000" w:rsidRDefault="00000000">
      <w:pPr>
        <w:spacing w:line="460" w:lineRule="atLeast"/>
        <w:ind w:firstLine="480"/>
        <w:rPr>
          <w:rFonts w:ascii="仿宋_GB2312" w:eastAsia="仿宋_GB2312"/>
          <w:sz w:val="28"/>
          <w:szCs w:val="28"/>
        </w:rPr>
      </w:pPr>
    </w:p>
    <w:p w14:paraId="1EA15172" w14:textId="77777777" w:rsidR="00000000" w:rsidRDefault="00000000">
      <w:pPr>
        <w:spacing w:line="460" w:lineRule="atLeast"/>
        <w:rPr>
          <w:rFonts w:ascii="宋体"/>
          <w:b/>
          <w:sz w:val="24"/>
        </w:rPr>
      </w:pPr>
      <w:r>
        <w:rPr>
          <w:rFonts w:ascii="仿宋" w:eastAsia="仿宋" w:hAnsi="仿宋"/>
          <w:sz w:val="24"/>
        </w:rPr>
        <w:t xml:space="preserve">          </w:t>
      </w:r>
      <w:bookmarkStart w:id="27" w:name="_Toc31567"/>
      <w:bookmarkStart w:id="28" w:name="_Toc16023"/>
      <w:bookmarkStart w:id="29" w:name="_Toc13249"/>
      <w:r>
        <w:rPr>
          <w:rFonts w:ascii="仿宋_GB2312" w:eastAsia="仿宋_GB2312" w:hAnsi="宋体" w:hint="eastAsia"/>
          <w:b/>
          <w:sz w:val="44"/>
          <w:szCs w:val="44"/>
        </w:rPr>
        <w:t>《微生物学与免疫学》课程标准</w:t>
      </w:r>
      <w:bookmarkEnd w:id="27"/>
      <w:bookmarkEnd w:id="28"/>
      <w:bookmarkEnd w:id="29"/>
    </w:p>
    <w:p w14:paraId="2DBE428E" w14:textId="77777777" w:rsidR="00000000" w:rsidRDefault="00000000">
      <w:pPr>
        <w:widowControl/>
        <w:shd w:val="clear" w:color="auto" w:fill="FFFFFF"/>
        <w:spacing w:line="460" w:lineRule="atLeast"/>
        <w:ind w:firstLineChars="200" w:firstLine="482"/>
        <w:rPr>
          <w:rFonts w:ascii="宋体"/>
          <w:b/>
          <w:color w:val="000000"/>
          <w:kern w:val="0"/>
          <w:sz w:val="24"/>
        </w:rPr>
      </w:pPr>
      <w:r>
        <w:rPr>
          <w:rFonts w:ascii="宋体" w:hAnsi="宋体" w:hint="eastAsia"/>
          <w:b/>
          <w:color w:val="000000"/>
          <w:kern w:val="0"/>
          <w:sz w:val="24"/>
        </w:rPr>
        <w:t>一、课程性质和教学任务</w:t>
      </w:r>
    </w:p>
    <w:p w14:paraId="770C07A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微生物学与免疫学是老年人服务与管理专业必修的专业基础课，是一门理论与实际紧密联系的交叉型应用学科，在老年人服务专业的人才培养中起到了为专业课做好前期铺垫的作用，是学习老年人服务与管理学的基础及必修先行课程</w:t>
      </w:r>
    </w:p>
    <w:p w14:paraId="238E186A" w14:textId="77777777" w:rsidR="00000000" w:rsidRDefault="00000000">
      <w:pPr>
        <w:widowControl/>
        <w:shd w:val="clear" w:color="auto" w:fill="FFFFFF"/>
        <w:spacing w:line="460" w:lineRule="atLeast"/>
        <w:ind w:firstLineChars="200" w:firstLine="482"/>
        <w:rPr>
          <w:rFonts w:ascii="宋体"/>
          <w:b/>
          <w:color w:val="FF0000"/>
          <w:kern w:val="0"/>
          <w:sz w:val="24"/>
        </w:rPr>
      </w:pPr>
      <w:r>
        <w:rPr>
          <w:rFonts w:ascii="宋体" w:hAnsi="宋体" w:hint="eastAsia"/>
          <w:b/>
          <w:color w:val="000000"/>
          <w:kern w:val="0"/>
          <w:sz w:val="24"/>
        </w:rPr>
        <w:t>二、课程教学目标</w:t>
      </w:r>
    </w:p>
    <w:p w14:paraId="1D4B5B7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（一）知识目标</w:t>
      </w:r>
    </w:p>
    <w:p w14:paraId="6F00F6F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通过微生物学与免疫学的学习使学生掌握微生物与免疫的基础理论，明确微生物学与免疫学在老年人服务与管理专业中的应用，启发学生在本专业中的新思维，为以后的工作打下良好的基础</w:t>
      </w:r>
    </w:p>
    <w:p w14:paraId="130E480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（二）职业技能目标</w:t>
      </w:r>
    </w:p>
    <w:p w14:paraId="25EF061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 xml:space="preserve">     本课程要求学生掌微生物学与免疫学的基础理论知识及实验的基本技能。熟悉微生物学在老年人服务与管理中的地位和重要性。熟悉人体的免疫系统与病原微生物之间的相互关系，掌握有关免疫学的基本知识和临床运用，为更好的发展专业水平提供技术支持</w:t>
      </w:r>
    </w:p>
    <w:p w14:paraId="5DC9ABB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（三）素质养成目标</w:t>
      </w:r>
    </w:p>
    <w:p w14:paraId="1CCDAC5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1.培养学生热爱祖国，立志献身医学事业，树立良好的职业道德，全新全意为人民服务；培养严谨、实事求是的科学作风，牢固树立科学的发展观</w:t>
      </w:r>
    </w:p>
    <w:p w14:paraId="1959D1D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2.智力：在教学中对学生进行多种能力的培养，即独立实验能力、</w:t>
      </w:r>
      <w:r>
        <w:rPr>
          <w:rFonts w:ascii="仿宋_GB2312" w:eastAsia="仿宋_GB2312" w:hint="eastAsia"/>
          <w:sz w:val="28"/>
          <w:szCs w:val="28"/>
        </w:rPr>
        <w:lastRenderedPageBreak/>
        <w:t>形象思维能力、自学能力、阅读能力、分析综合能力、描述表达能力、创新能力</w:t>
      </w:r>
    </w:p>
    <w:p w14:paraId="25D4C49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3.体质：培养学生养成良好的卫生习惯，加强体育锻炼，增强体质</w:t>
      </w:r>
    </w:p>
    <w:p w14:paraId="6E87466C" w14:textId="77777777" w:rsidR="00000000" w:rsidRDefault="00000000">
      <w:pPr>
        <w:widowControl/>
        <w:shd w:val="clear" w:color="auto" w:fill="FFFFFF"/>
        <w:spacing w:line="460" w:lineRule="atLeast"/>
        <w:rPr>
          <w:rFonts w:ascii="宋体"/>
          <w:b/>
          <w:color w:val="000000"/>
          <w:kern w:val="0"/>
          <w:sz w:val="24"/>
        </w:rPr>
      </w:pPr>
      <w:r>
        <w:rPr>
          <w:rFonts w:ascii="宋体" w:hAnsi="宋体" w:hint="eastAsia"/>
          <w:b/>
          <w:color w:val="000000"/>
          <w:kern w:val="0"/>
          <w:sz w:val="24"/>
        </w:rPr>
        <w:t>三、教学内容与要求</w:t>
      </w:r>
    </w:p>
    <w:p w14:paraId="56A58E73" w14:textId="77777777" w:rsidR="00000000" w:rsidRDefault="00000000">
      <w:pPr>
        <w:spacing w:line="460" w:lineRule="atLeast"/>
        <w:ind w:firstLineChars="49" w:firstLine="118"/>
        <w:jc w:val="center"/>
        <w:rPr>
          <w:rFonts w:ascii="宋体"/>
          <w:b/>
          <w:sz w:val="24"/>
        </w:rPr>
      </w:pPr>
      <w:r>
        <w:rPr>
          <w:rFonts w:ascii="宋体" w:hAnsi="宋体" w:hint="eastAsia"/>
          <w:b/>
          <w:sz w:val="24"/>
        </w:rPr>
        <w:t>项目一</w:t>
      </w:r>
      <w:r>
        <w:rPr>
          <w:rFonts w:ascii="宋体" w:hAnsi="宋体"/>
          <w:b/>
          <w:sz w:val="24"/>
        </w:rPr>
        <w:t xml:space="preserve">    </w:t>
      </w:r>
      <w:r>
        <w:rPr>
          <w:rFonts w:ascii="宋体" w:hAnsi="宋体" w:hint="eastAsia"/>
          <w:b/>
          <w:sz w:val="24"/>
        </w:rPr>
        <w:t>微生物学（30学时）</w:t>
      </w:r>
    </w:p>
    <w:p w14:paraId="2856BD4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【教学内容】</w:t>
      </w:r>
    </w:p>
    <w:p w14:paraId="22A8FF8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绪论</w:t>
      </w:r>
    </w:p>
    <w:p w14:paraId="4860902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一、教学目的及要求</w:t>
      </w:r>
    </w:p>
    <w:p w14:paraId="3B85F58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1.掌握微生物学与免疫学的概念、特点、命名及分类</w:t>
      </w:r>
    </w:p>
    <w:p w14:paraId="1D2987C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2.熟悉微生物学与免疫学的研究范围</w:t>
      </w:r>
    </w:p>
    <w:p w14:paraId="5D4A8C3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第一章 细菌</w:t>
      </w:r>
    </w:p>
    <w:p w14:paraId="0FF14F2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1.熟悉细菌的基本形态，了解细菌细胞壁的主要化学成分及其功能</w:t>
      </w:r>
    </w:p>
    <w:p w14:paraId="37756D3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2.掌握细菌的生长繁殖条件，了解培养基的种类及制备原则，熟悉细菌在人工培养基上的生长现象</w:t>
      </w:r>
    </w:p>
    <w:p w14:paraId="2EEBDB1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3.掌握细菌代谢产物及意义，了解微生物在自然界和正常人体的分布概况及其形成条件和意义</w:t>
      </w:r>
    </w:p>
    <w:p w14:paraId="2940710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4.掌握细菌的致病因素及细菌感染的类型，了解细菌的检查方法</w:t>
      </w:r>
    </w:p>
    <w:p w14:paraId="283CB61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第二章 放线菌</w:t>
      </w:r>
    </w:p>
    <w:p w14:paraId="3C22721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1.掌握放线菌的概念及生物学特性</w:t>
      </w:r>
    </w:p>
    <w:p w14:paraId="107EA44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2.熟悉几个代表菌属的特点及经济价值</w:t>
      </w:r>
    </w:p>
    <w:p w14:paraId="657046A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第三章 其它原核微生物</w:t>
      </w:r>
    </w:p>
    <w:p w14:paraId="1F5343D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1.掌握支原体的概念及主要特性，致病特点</w:t>
      </w:r>
    </w:p>
    <w:p w14:paraId="585F754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2.熟悉常见致病性支原体及所致疾病；支原体与L型细菌的区别</w:t>
      </w:r>
    </w:p>
    <w:p w14:paraId="61226E7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3.掌握立克次体的概念及重要生物学特征，共同特点，以及常见的致病性立克次体所致疾病</w:t>
      </w:r>
    </w:p>
    <w:p w14:paraId="00F4D75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4.掌握衣原体的概念，共同特征，独特发育周期，沙眼衣原体所致病菌</w:t>
      </w:r>
    </w:p>
    <w:p w14:paraId="4BF63E6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5.熟悉衣原体的致病性与免疫性</w:t>
      </w:r>
    </w:p>
    <w:p w14:paraId="40C5FEA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6.掌握钩端螺旋体的生物学特性，致病性及所致疾病；梅素螺旋体的形态及致病性</w:t>
      </w:r>
    </w:p>
    <w:p w14:paraId="06C6C87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7.熟悉螺旋体的种类、微生物学检查法</w:t>
      </w:r>
    </w:p>
    <w:p w14:paraId="13059D3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第四章 真菌</w:t>
      </w:r>
    </w:p>
    <w:p w14:paraId="596CA62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1.掌握真菌的概念，真菌主要生物学特征</w:t>
      </w:r>
    </w:p>
    <w:p w14:paraId="382F5DA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2.熟悉致病性及所致疾病</w:t>
      </w:r>
    </w:p>
    <w:p w14:paraId="0C293CB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3.了解防止原则</w:t>
      </w:r>
    </w:p>
    <w:p w14:paraId="250C13C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第五章 病毒</w:t>
      </w:r>
    </w:p>
    <w:p w14:paraId="5B5F691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1.掌握病毒的概念、基本特征及生物学特性</w:t>
      </w:r>
    </w:p>
    <w:p w14:paraId="764FB99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2.熟悉细菌的病毒即噬菌体的生物学特性</w:t>
      </w:r>
    </w:p>
    <w:p w14:paraId="6B8F1FE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3.掌握干扰素的概念、特性及抗病毒机制</w:t>
      </w:r>
    </w:p>
    <w:p w14:paraId="6CC7E98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第六章 微生物的营养及代谢</w:t>
      </w:r>
    </w:p>
    <w:p w14:paraId="4C56258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1.掌握细菌合成代谢产物的概念就意义，细菌生长繁殖的一般规律</w:t>
      </w:r>
    </w:p>
    <w:p w14:paraId="1FEA64E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2.熟悉细菌不同营养类型的概念，细菌生长所需条件，生长曲线</w:t>
      </w:r>
      <w:r>
        <w:rPr>
          <w:rFonts w:ascii="仿宋_GB2312" w:eastAsia="仿宋_GB2312" w:hint="eastAsia"/>
          <w:sz w:val="28"/>
          <w:szCs w:val="28"/>
        </w:rPr>
        <w:lastRenderedPageBreak/>
        <w:t>及其意义。细菌的人工培养</w:t>
      </w:r>
    </w:p>
    <w:p w14:paraId="7E2E39A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3.了解细菌的分解代谢产物与生化反应，细菌的理化性质，细菌的分类法原则</w:t>
      </w:r>
    </w:p>
    <w:p w14:paraId="4E67856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第七章 消毒与灭菌</w:t>
      </w:r>
    </w:p>
    <w:p w14:paraId="74768FD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1.掌握消毒、灭菌、防腐、无菌的概念；常用物理灭菌法；紫外线杀菌原理</w:t>
      </w:r>
    </w:p>
    <w:p w14:paraId="037A3FB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2.熟悉常用消毒剂的名称、作用原理及应用</w:t>
      </w:r>
    </w:p>
    <w:p w14:paraId="03EB4A4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3.了解冷冻真空干燥法的原理及应用，影响消毒灭菌效果的因素</w:t>
      </w:r>
    </w:p>
    <w:p w14:paraId="748DC78E" w14:textId="77777777" w:rsidR="00000000" w:rsidRDefault="00000000">
      <w:pPr>
        <w:spacing w:line="460" w:lineRule="atLeast"/>
        <w:ind w:left="480"/>
        <w:rPr>
          <w:rFonts w:ascii="仿宋_GB2312" w:eastAsia="仿宋_GB2312"/>
          <w:sz w:val="28"/>
          <w:szCs w:val="28"/>
        </w:rPr>
      </w:pPr>
    </w:p>
    <w:p w14:paraId="7E2D8825" w14:textId="77777777" w:rsidR="00000000" w:rsidRDefault="00000000">
      <w:pPr>
        <w:spacing w:line="460" w:lineRule="atLeast"/>
        <w:jc w:val="center"/>
        <w:rPr>
          <w:rFonts w:ascii="宋体"/>
          <w:b/>
          <w:bCs/>
          <w:sz w:val="24"/>
        </w:rPr>
      </w:pPr>
      <w:r>
        <w:rPr>
          <w:rFonts w:ascii="宋体" w:hAnsi="宋体" w:hint="eastAsia"/>
          <w:b/>
          <w:bCs/>
          <w:sz w:val="24"/>
        </w:rPr>
        <w:t>项目二</w:t>
      </w:r>
      <w:r>
        <w:rPr>
          <w:rFonts w:ascii="宋体" w:hAnsi="宋体"/>
          <w:b/>
          <w:bCs/>
          <w:sz w:val="24"/>
        </w:rPr>
        <w:t xml:space="preserve">    </w:t>
      </w:r>
      <w:r>
        <w:rPr>
          <w:rFonts w:ascii="宋体" w:hAnsi="宋体" w:hint="eastAsia"/>
          <w:b/>
          <w:bCs/>
          <w:sz w:val="24"/>
        </w:rPr>
        <w:t>免疫学（</w:t>
      </w:r>
      <w:r>
        <w:rPr>
          <w:rFonts w:ascii="宋体" w:hAnsi="宋体"/>
          <w:b/>
          <w:bCs/>
          <w:sz w:val="24"/>
        </w:rPr>
        <w:t>6</w:t>
      </w:r>
      <w:r>
        <w:rPr>
          <w:rFonts w:ascii="宋体" w:hAnsi="宋体" w:hint="eastAsia"/>
          <w:b/>
          <w:bCs/>
          <w:sz w:val="24"/>
        </w:rPr>
        <w:t>学时）</w:t>
      </w:r>
    </w:p>
    <w:p w14:paraId="33CCF37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第八章 微生物的遗传和变异</w:t>
      </w:r>
    </w:p>
    <w:p w14:paraId="58A612F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1.掌握微生物的遗传性与变异的一般理论及物质基础DNA在微生物细胞中的存在方式。</w:t>
      </w:r>
    </w:p>
    <w:p w14:paraId="7631B68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2.熟悉基因突变的分子机制和遗传物质的转移与重组的几种方式</w:t>
      </w:r>
    </w:p>
    <w:p w14:paraId="6C33AF4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第九章 抗原</w:t>
      </w:r>
    </w:p>
    <w:p w14:paraId="15D93CF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1.掌握抗原的概念及基本特性（免疫原性、抗原性），抗原的分类</w:t>
      </w:r>
    </w:p>
    <w:p w14:paraId="4A03E24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2.掌握抗原的异物性与特异性</w:t>
      </w:r>
    </w:p>
    <w:p w14:paraId="120BEFB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第十章 免疫系统</w:t>
      </w:r>
    </w:p>
    <w:p w14:paraId="6EF8355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1.免疫球蛋白的基本结构，免疫球蛋白的水解片段</w:t>
      </w:r>
    </w:p>
    <w:p w14:paraId="4323401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2.五类免疫球蛋白的特性与功能</w:t>
      </w:r>
    </w:p>
    <w:p w14:paraId="3A5EAB5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3.了解免疫球蛋白的异质性</w:t>
      </w:r>
    </w:p>
    <w:p w14:paraId="5CE0F60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4.了解单克隆抗体与基因工程抗体的制备方法</w:t>
      </w:r>
    </w:p>
    <w:p w14:paraId="3D4B9CA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第十一章 适应性免疫应答</w:t>
      </w:r>
    </w:p>
    <w:p w14:paraId="18C55CE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1.掌握特异性免疫反应的含义和特点</w:t>
      </w:r>
    </w:p>
    <w:p w14:paraId="668ADB05"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2.体液免疫和细胞免疫的含义，应答过程和生物学效应</w:t>
      </w:r>
    </w:p>
    <w:p w14:paraId="7801305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3.掌握细胞程序死亡的基本特点及再免疫中的意义</w:t>
      </w:r>
    </w:p>
    <w:p w14:paraId="60A9996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4.掌握免疫调节的基本知识，着重掌握免疫调节网络理论</w:t>
      </w:r>
    </w:p>
    <w:p w14:paraId="656E1B97"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5.了解免疫耐受的现象及其机理</w:t>
      </w:r>
    </w:p>
    <w:p w14:paraId="4C256BA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第十二章 超敏反应</w:t>
      </w:r>
    </w:p>
    <w:p w14:paraId="529F28C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1.掌握超敏反应的含义、形成原因及各型变态反应的特点，发病机理</w:t>
      </w:r>
    </w:p>
    <w:p w14:paraId="3EEB341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2.掌握各型的常见病例</w:t>
      </w:r>
    </w:p>
    <w:p w14:paraId="603AA7E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3.熟悉免疫与人的疾病的关系</w:t>
      </w:r>
    </w:p>
    <w:p w14:paraId="4549312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4.了解免疫学基本原理的应用</w:t>
      </w:r>
    </w:p>
    <w:p w14:paraId="23F04B6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第十三章 免疫学的应用</w:t>
      </w:r>
    </w:p>
    <w:p w14:paraId="5489E099"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1.掌握革兰氏染色法原理</w:t>
      </w:r>
    </w:p>
    <w:p w14:paraId="487A252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2.熟悉适合革兰氏染色的菌种</w:t>
      </w:r>
    </w:p>
    <w:p w14:paraId="10F0EFC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3.掌握染色标本的制备、染色步骤</w:t>
      </w:r>
    </w:p>
    <w:p w14:paraId="062BD3F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4.掌握油镜观察方法</w:t>
      </w:r>
    </w:p>
    <w:p w14:paraId="5A6EFAA0" w14:textId="77777777" w:rsidR="00000000" w:rsidRDefault="00000000">
      <w:pPr>
        <w:widowControl/>
        <w:shd w:val="clear" w:color="auto" w:fill="FFFFFF"/>
        <w:spacing w:line="460" w:lineRule="atLeast"/>
        <w:ind w:firstLineChars="200" w:firstLine="482"/>
        <w:jc w:val="left"/>
        <w:rPr>
          <w:rFonts w:ascii="宋体"/>
          <w:b/>
          <w:color w:val="000000"/>
          <w:kern w:val="0"/>
          <w:sz w:val="24"/>
        </w:rPr>
      </w:pPr>
      <w:r>
        <w:rPr>
          <w:rFonts w:ascii="宋体" w:hAnsi="宋体" w:hint="eastAsia"/>
          <w:b/>
          <w:color w:val="000000"/>
          <w:kern w:val="0"/>
          <w:sz w:val="24"/>
        </w:rPr>
        <w:t>四、课时计划及学时分配</w:t>
      </w:r>
    </w:p>
    <w:p w14:paraId="6E91B4CC"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本课程总学时54，于第一学期开设。</w:t>
      </w:r>
    </w:p>
    <w:p w14:paraId="66D1ECCB"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课时分配见表</w:t>
      </w:r>
      <w:r>
        <w:rPr>
          <w:rFonts w:ascii="仿宋_GB2312" w:eastAsia="仿宋_GB2312"/>
          <w:sz w:val="28"/>
          <w:szCs w:val="28"/>
        </w:rPr>
        <w:t>1</w:t>
      </w:r>
    </w:p>
    <w:p w14:paraId="1E761D2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lastRenderedPageBreak/>
        <w:t>表</w:t>
      </w:r>
      <w:r>
        <w:rPr>
          <w:rFonts w:ascii="仿宋_GB2312" w:eastAsia="仿宋_GB2312"/>
          <w:sz w:val="28"/>
          <w:szCs w:val="28"/>
        </w:rPr>
        <w:t xml:space="preserve">1 </w:t>
      </w:r>
      <w:r>
        <w:rPr>
          <w:rFonts w:ascii="仿宋_GB2312" w:eastAsia="仿宋_GB2312" w:hint="eastAsia"/>
          <w:sz w:val="28"/>
          <w:szCs w:val="28"/>
        </w:rPr>
        <w:t>课时分配表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4982"/>
        <w:gridCol w:w="1334"/>
      </w:tblGrid>
      <w:tr w:rsidR="00000000" w14:paraId="0E448BF4" w14:textId="77777777">
        <w:trPr>
          <w:jc w:val="center"/>
        </w:trPr>
        <w:tc>
          <w:tcPr>
            <w:tcW w:w="1082" w:type="dxa"/>
          </w:tcPr>
          <w:p w14:paraId="3449799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序号</w:t>
            </w:r>
          </w:p>
        </w:tc>
        <w:tc>
          <w:tcPr>
            <w:tcW w:w="4982" w:type="dxa"/>
          </w:tcPr>
          <w:p w14:paraId="01C9C16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1334" w:type="dxa"/>
          </w:tcPr>
          <w:p w14:paraId="340DBE2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课时</w:t>
            </w:r>
          </w:p>
        </w:tc>
      </w:tr>
      <w:tr w:rsidR="00000000" w14:paraId="58CCD79C" w14:textId="77777777">
        <w:trPr>
          <w:jc w:val="center"/>
        </w:trPr>
        <w:tc>
          <w:tcPr>
            <w:tcW w:w="1082" w:type="dxa"/>
          </w:tcPr>
          <w:p w14:paraId="76B9D9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4982" w:type="dxa"/>
          </w:tcPr>
          <w:p w14:paraId="52D7C10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绪论</w:t>
            </w:r>
          </w:p>
        </w:tc>
        <w:tc>
          <w:tcPr>
            <w:tcW w:w="1334" w:type="dxa"/>
            <w:vAlign w:val="center"/>
          </w:tcPr>
          <w:p w14:paraId="3A1528D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27A2BBF4" w14:textId="77777777">
        <w:trPr>
          <w:jc w:val="center"/>
        </w:trPr>
        <w:tc>
          <w:tcPr>
            <w:tcW w:w="1082" w:type="dxa"/>
          </w:tcPr>
          <w:p w14:paraId="4578602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4982" w:type="dxa"/>
          </w:tcPr>
          <w:p w14:paraId="360D81E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项目一微生物学（理论加实践）</w:t>
            </w:r>
          </w:p>
        </w:tc>
        <w:tc>
          <w:tcPr>
            <w:tcW w:w="1334" w:type="dxa"/>
            <w:vAlign w:val="center"/>
          </w:tcPr>
          <w:p w14:paraId="3F3D243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28</w:t>
            </w:r>
          </w:p>
        </w:tc>
      </w:tr>
      <w:tr w:rsidR="00000000" w14:paraId="0E64893C" w14:textId="77777777">
        <w:trPr>
          <w:jc w:val="center"/>
        </w:trPr>
        <w:tc>
          <w:tcPr>
            <w:tcW w:w="1082" w:type="dxa"/>
          </w:tcPr>
          <w:p w14:paraId="29114A0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4982" w:type="dxa"/>
          </w:tcPr>
          <w:p w14:paraId="17527000" w14:textId="77777777" w:rsidR="00000000" w:rsidRDefault="00000000">
            <w:pPr>
              <w:autoSpaceDE w:val="0"/>
              <w:autoSpaceDN w:val="0"/>
              <w:spacing w:line="460" w:lineRule="atLeast"/>
              <w:ind w:leftChars="200" w:left="1890" w:hangingChars="700" w:hanging="147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项目二免疫学（理论加实践）</w:t>
            </w:r>
          </w:p>
        </w:tc>
        <w:tc>
          <w:tcPr>
            <w:tcW w:w="1334" w:type="dxa"/>
            <w:vAlign w:val="center"/>
          </w:tcPr>
          <w:p w14:paraId="509F67F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w:t>
            </w:r>
          </w:p>
        </w:tc>
      </w:tr>
      <w:tr w:rsidR="00000000" w14:paraId="1CDC5357" w14:textId="77777777">
        <w:trPr>
          <w:jc w:val="center"/>
        </w:trPr>
        <w:tc>
          <w:tcPr>
            <w:tcW w:w="1082" w:type="dxa"/>
          </w:tcPr>
          <w:p w14:paraId="41F18B1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4982" w:type="dxa"/>
          </w:tcPr>
          <w:p w14:paraId="6A72492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机动、复习、测验</w:t>
            </w:r>
          </w:p>
        </w:tc>
        <w:tc>
          <w:tcPr>
            <w:tcW w:w="1334" w:type="dxa"/>
            <w:vAlign w:val="center"/>
          </w:tcPr>
          <w:p w14:paraId="3D6D157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r>
      <w:tr w:rsidR="00000000" w14:paraId="2F672006" w14:textId="77777777">
        <w:trPr>
          <w:jc w:val="center"/>
        </w:trPr>
        <w:tc>
          <w:tcPr>
            <w:tcW w:w="1082" w:type="dxa"/>
          </w:tcPr>
          <w:p w14:paraId="4B75E86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小计</w:t>
            </w:r>
          </w:p>
        </w:tc>
        <w:tc>
          <w:tcPr>
            <w:tcW w:w="6316" w:type="dxa"/>
            <w:gridSpan w:val="2"/>
          </w:tcPr>
          <w:p w14:paraId="056283C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共54学时</w:t>
            </w:r>
          </w:p>
        </w:tc>
      </w:tr>
    </w:tbl>
    <w:p w14:paraId="224443C6" w14:textId="77777777" w:rsidR="00000000" w:rsidRDefault="00000000">
      <w:pPr>
        <w:spacing w:line="460" w:lineRule="atLeast"/>
        <w:ind w:firstLine="480"/>
        <w:rPr>
          <w:rFonts w:ascii="仿宋_GB2312" w:eastAsia="仿宋_GB2312"/>
          <w:sz w:val="28"/>
          <w:szCs w:val="28"/>
        </w:rPr>
      </w:pPr>
    </w:p>
    <w:p w14:paraId="2FE8C23F" w14:textId="77777777" w:rsidR="00000000" w:rsidRDefault="00000000">
      <w:pPr>
        <w:spacing w:line="460" w:lineRule="atLeast"/>
        <w:ind w:firstLine="480"/>
        <w:rPr>
          <w:rFonts w:ascii="仿宋_GB2312" w:eastAsia="仿宋_GB2312"/>
          <w:sz w:val="28"/>
          <w:szCs w:val="28"/>
        </w:rPr>
      </w:pPr>
    </w:p>
    <w:p w14:paraId="0F70B106" w14:textId="77777777" w:rsidR="00000000" w:rsidRDefault="00000000">
      <w:pPr>
        <w:spacing w:line="460" w:lineRule="atLeast"/>
        <w:ind w:firstLine="480"/>
        <w:rPr>
          <w:rFonts w:ascii="仿宋_GB2312" w:eastAsia="仿宋_GB2312"/>
          <w:sz w:val="28"/>
          <w:szCs w:val="28"/>
        </w:rPr>
      </w:pPr>
    </w:p>
    <w:p w14:paraId="7143E741" w14:textId="77777777" w:rsidR="00000000" w:rsidRDefault="00000000">
      <w:pPr>
        <w:spacing w:line="460" w:lineRule="atLeast"/>
        <w:ind w:firstLine="480"/>
        <w:rPr>
          <w:rFonts w:ascii="仿宋_GB2312" w:eastAsia="仿宋_GB2312"/>
          <w:sz w:val="28"/>
          <w:szCs w:val="28"/>
        </w:rPr>
      </w:pPr>
    </w:p>
    <w:p w14:paraId="550B8BAB" w14:textId="77777777" w:rsidR="00000000" w:rsidRDefault="00000000">
      <w:pPr>
        <w:spacing w:line="460" w:lineRule="atLeast"/>
        <w:ind w:firstLine="480"/>
        <w:rPr>
          <w:rFonts w:ascii="仿宋_GB2312" w:eastAsia="仿宋_GB2312"/>
          <w:sz w:val="28"/>
          <w:szCs w:val="28"/>
        </w:rPr>
      </w:pPr>
    </w:p>
    <w:p w14:paraId="36F9FE0E" w14:textId="77777777" w:rsidR="00000000" w:rsidRDefault="00000000">
      <w:pPr>
        <w:spacing w:line="460" w:lineRule="atLeast"/>
        <w:ind w:firstLine="480"/>
        <w:rPr>
          <w:rFonts w:ascii="仿宋_GB2312" w:eastAsia="仿宋_GB2312"/>
          <w:sz w:val="28"/>
          <w:szCs w:val="28"/>
        </w:rPr>
      </w:pPr>
    </w:p>
    <w:p w14:paraId="2F943E3F" w14:textId="77777777" w:rsidR="00000000" w:rsidRDefault="00000000">
      <w:pPr>
        <w:spacing w:line="460" w:lineRule="atLeast"/>
        <w:ind w:firstLine="480"/>
        <w:rPr>
          <w:rFonts w:ascii="仿宋_GB2312" w:eastAsia="仿宋_GB2312"/>
          <w:sz w:val="28"/>
          <w:szCs w:val="28"/>
        </w:rPr>
      </w:pPr>
    </w:p>
    <w:p w14:paraId="6524C496" w14:textId="77777777" w:rsidR="00000000" w:rsidRDefault="00000000">
      <w:pPr>
        <w:spacing w:line="460" w:lineRule="atLeast"/>
        <w:ind w:firstLine="480"/>
        <w:rPr>
          <w:rFonts w:ascii="仿宋_GB2312" w:eastAsia="仿宋_GB2312"/>
          <w:sz w:val="28"/>
          <w:szCs w:val="28"/>
        </w:rPr>
      </w:pPr>
    </w:p>
    <w:p w14:paraId="4E969631" w14:textId="77777777" w:rsidR="00000000" w:rsidRDefault="00000000">
      <w:pPr>
        <w:spacing w:line="460" w:lineRule="atLeast"/>
        <w:ind w:firstLine="480"/>
        <w:rPr>
          <w:rFonts w:ascii="仿宋_GB2312" w:eastAsia="仿宋_GB2312"/>
          <w:sz w:val="28"/>
          <w:szCs w:val="28"/>
        </w:rPr>
      </w:pPr>
    </w:p>
    <w:p w14:paraId="020CBEA1" w14:textId="77777777" w:rsidR="00000000" w:rsidRDefault="00000000">
      <w:pPr>
        <w:spacing w:line="460" w:lineRule="atLeast"/>
        <w:ind w:firstLine="480"/>
        <w:rPr>
          <w:rFonts w:ascii="仿宋_GB2312" w:eastAsia="仿宋_GB2312"/>
          <w:sz w:val="28"/>
          <w:szCs w:val="28"/>
        </w:rPr>
      </w:pPr>
    </w:p>
    <w:p w14:paraId="3DF9DE63" w14:textId="77777777" w:rsidR="00000000" w:rsidRDefault="00000000">
      <w:pPr>
        <w:spacing w:line="460" w:lineRule="atLeast"/>
        <w:ind w:firstLine="480"/>
        <w:rPr>
          <w:rFonts w:ascii="仿宋_GB2312" w:eastAsia="仿宋_GB2312"/>
          <w:sz w:val="28"/>
          <w:szCs w:val="28"/>
        </w:rPr>
      </w:pPr>
    </w:p>
    <w:p w14:paraId="35D542C6" w14:textId="77777777" w:rsidR="00000000" w:rsidRDefault="00000000">
      <w:pPr>
        <w:spacing w:line="460" w:lineRule="atLeast"/>
        <w:ind w:firstLine="480"/>
        <w:rPr>
          <w:rFonts w:ascii="仿宋_GB2312" w:eastAsia="仿宋_GB2312"/>
          <w:sz w:val="28"/>
          <w:szCs w:val="28"/>
        </w:rPr>
      </w:pPr>
    </w:p>
    <w:p w14:paraId="516F895C" w14:textId="77777777" w:rsidR="00000000" w:rsidRDefault="00000000">
      <w:pPr>
        <w:spacing w:line="460" w:lineRule="atLeast"/>
        <w:ind w:firstLine="480"/>
        <w:rPr>
          <w:rFonts w:ascii="仿宋_GB2312" w:eastAsia="仿宋_GB2312"/>
          <w:sz w:val="28"/>
          <w:szCs w:val="28"/>
        </w:rPr>
      </w:pPr>
    </w:p>
    <w:p w14:paraId="3EF569AF" w14:textId="77777777" w:rsidR="00000000" w:rsidRDefault="00000000">
      <w:pPr>
        <w:spacing w:line="460" w:lineRule="atLeast"/>
        <w:ind w:firstLine="480"/>
        <w:rPr>
          <w:rFonts w:ascii="仿宋_GB2312" w:eastAsia="仿宋_GB2312"/>
          <w:sz w:val="28"/>
          <w:szCs w:val="28"/>
        </w:rPr>
      </w:pPr>
    </w:p>
    <w:p w14:paraId="67E4418D" w14:textId="77777777" w:rsidR="00000000" w:rsidRDefault="00000000">
      <w:pPr>
        <w:spacing w:line="460" w:lineRule="atLeast"/>
        <w:ind w:firstLine="480"/>
        <w:rPr>
          <w:rFonts w:ascii="仿宋_GB2312" w:eastAsia="仿宋_GB2312"/>
          <w:sz w:val="28"/>
          <w:szCs w:val="28"/>
        </w:rPr>
      </w:pPr>
    </w:p>
    <w:p w14:paraId="3AB3BC67" w14:textId="77777777" w:rsidR="00000000" w:rsidRDefault="00000000">
      <w:pPr>
        <w:widowControl/>
        <w:spacing w:beforeLines="50" w:before="156" w:afterLines="50" w:after="156" w:line="460" w:lineRule="atLeast"/>
        <w:jc w:val="center"/>
        <w:rPr>
          <w:rFonts w:ascii="仿宋_GB2312" w:eastAsia="仿宋_GB2312" w:hAnsi="??" w:cs="宋体"/>
          <w:b/>
          <w:bCs/>
          <w:color w:val="000000"/>
          <w:kern w:val="0"/>
          <w:sz w:val="44"/>
          <w:szCs w:val="44"/>
        </w:rPr>
      </w:pPr>
    </w:p>
    <w:p w14:paraId="1C4F90C4" w14:textId="77777777" w:rsidR="00000000" w:rsidRDefault="00000000">
      <w:pPr>
        <w:widowControl/>
        <w:spacing w:beforeLines="50" w:before="156" w:afterLines="50" w:after="156" w:line="460" w:lineRule="atLeast"/>
        <w:jc w:val="center"/>
        <w:outlineLvl w:val="1"/>
        <w:rPr>
          <w:rFonts w:ascii="仿宋_GB2312" w:eastAsia="仿宋_GB2312" w:hAnsi="??" w:cs="宋体"/>
          <w:color w:val="000000"/>
          <w:kern w:val="0"/>
          <w:sz w:val="28"/>
          <w:szCs w:val="28"/>
        </w:rPr>
      </w:pPr>
      <w:bookmarkStart w:id="30" w:name="_Toc9255"/>
      <w:bookmarkStart w:id="31" w:name="_Toc30531"/>
      <w:bookmarkStart w:id="32" w:name="_Toc15427"/>
      <w:r>
        <w:rPr>
          <w:rFonts w:ascii="仿宋_GB2312" w:eastAsia="仿宋_GB2312" w:hAnsi="??" w:cs="宋体" w:hint="eastAsia"/>
          <w:b/>
          <w:bCs/>
          <w:color w:val="000000"/>
          <w:kern w:val="0"/>
          <w:sz w:val="44"/>
          <w:szCs w:val="44"/>
        </w:rPr>
        <w:lastRenderedPageBreak/>
        <w:t>《中医护理学》课程标准</w:t>
      </w:r>
      <w:bookmarkEnd w:id="30"/>
      <w:bookmarkEnd w:id="31"/>
      <w:bookmarkEnd w:id="32"/>
      <w:r>
        <w:rPr>
          <w:rFonts w:ascii="宋体" w:hAnsi="宋体" w:cs="宋体"/>
          <w:b/>
          <w:bCs/>
          <w:color w:val="000000"/>
          <w:kern w:val="0"/>
          <w:sz w:val="28"/>
          <w:szCs w:val="21"/>
        </w:rPr>
        <w:t xml:space="preserve">                    </w:t>
      </w:r>
    </w:p>
    <w:p w14:paraId="33715E6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课程性质：</w:t>
      </w:r>
    </w:p>
    <w:p w14:paraId="1F3FA642" w14:textId="77777777" w:rsidR="00000000" w:rsidRDefault="00000000">
      <w:pPr>
        <w:spacing w:line="460" w:lineRule="atLeast"/>
        <w:ind w:firstLineChars="321" w:firstLine="899"/>
        <w:rPr>
          <w:rFonts w:ascii="仿宋_GB2312" w:eastAsia="仿宋_GB2312" w:hint="eastAsia"/>
          <w:sz w:val="28"/>
          <w:szCs w:val="28"/>
        </w:rPr>
      </w:pPr>
      <w:r>
        <w:rPr>
          <w:rFonts w:ascii="仿宋_GB2312" w:eastAsia="仿宋_GB2312" w:hint="eastAsia"/>
          <w:sz w:val="28"/>
          <w:szCs w:val="28"/>
        </w:rPr>
        <w:t>《中医护理学》是中等学校老年人服务与管理的专业课之一，是中医护理方向的必修课。通过近年来的探索，我们将本课程分为中医基本知识和中医护理技术两大部分。基本知识涵盖中医学最基本的理论知识，通过讲解力求学生对中医有较为完整系统的认识；护理技术则包括中医特色的饮食、情志、运动、用药和针灸调护等内容，教学过程以实验实训或临床为主，以加强学生的动手能力。目的是通过本课程的学习，使学生在了解中医学生理、病理及诊治基本知识的基础上，掌握中医护理的基本理念、基本方法和基本技术，为日后的工作做好基础</w:t>
      </w:r>
    </w:p>
    <w:p w14:paraId="67D9E9B9" w14:textId="77777777" w:rsidR="00000000" w:rsidRDefault="00000000">
      <w:pPr>
        <w:spacing w:line="460" w:lineRule="atLeast"/>
        <w:ind w:firstLineChars="321" w:firstLine="899"/>
        <w:rPr>
          <w:rFonts w:ascii="仿宋_GB2312" w:eastAsia="仿宋_GB2312"/>
          <w:sz w:val="28"/>
          <w:szCs w:val="28"/>
        </w:rPr>
      </w:pPr>
      <w:r>
        <w:rPr>
          <w:rFonts w:ascii="仿宋_GB2312" w:eastAsia="仿宋_GB2312" w:hint="eastAsia"/>
          <w:sz w:val="28"/>
          <w:szCs w:val="28"/>
        </w:rPr>
        <w:t>《中医护理学》采用课堂讲授、教师示范、实验实训及临床见习等多种形式的教学方法，加强学生对中医基本知识的理解、掌握和应用，注重每一教学内容之间的联系。突出重点，讲清难点。病说明课程的重要，突出中医特点</w:t>
      </w:r>
    </w:p>
    <w:p w14:paraId="2DE83D71"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教学目标：</w:t>
      </w:r>
    </w:p>
    <w:p w14:paraId="4189ECB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的学习，以工作任务为参照点，以项目为载体，通过本课程设置的项目活动，使学生了解仪器的组成、结构等基本知识；熟悉仪器分析的测试技术；理解根据实际分析项目选择合适分析仪器及分析技术；会熟练使用现在分析仪器，会排查仪器的简单故障及对仪器的日常维护；能做各种样品的定性、定量分析测试；使学生具备从事仪器分析测试技术所具备的素质，知识技能、树立全面质量管理意识，</w:t>
      </w:r>
      <w:r>
        <w:rPr>
          <w:rFonts w:ascii="仿宋_GB2312" w:eastAsia="仿宋_GB2312" w:hint="eastAsia"/>
          <w:sz w:val="28"/>
          <w:szCs w:val="28"/>
        </w:rPr>
        <w:lastRenderedPageBreak/>
        <w:t>具备提出和解决问题的能力，养成辩证思维和严格的科学作风，创新思维和创新能力，以及团队合作精神，为后续的专业职业能力培养打下扎实基础</w:t>
      </w:r>
    </w:p>
    <w:p w14:paraId="634B326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教学要求：</w:t>
      </w:r>
    </w:p>
    <w:p w14:paraId="56DA426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（一）专业能力：</w:t>
      </w:r>
    </w:p>
    <w:p w14:paraId="0E33771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1.能正确解释和理解中医的名词术语</w:t>
      </w:r>
    </w:p>
    <w:p w14:paraId="676B7960"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2.能解释理解中医的基本特点</w:t>
      </w:r>
    </w:p>
    <w:p w14:paraId="211C4C8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3.能区分中西医脏器的异同，熟悉理解中医各脏腑的功能，正常与异常的表现</w:t>
      </w:r>
    </w:p>
    <w:p w14:paraId="55B11CD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4.能理解人体必需物质精气血津液的概念、生成、运行、功能、之间的关系及正常与异常的表现</w:t>
      </w:r>
    </w:p>
    <w:p w14:paraId="06ACC56B"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5.能说出各种病因的含义，致病特点</w:t>
      </w:r>
    </w:p>
    <w:p w14:paraId="2D1E54C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6.能熟悉20个以上的常用中成药的功效、适应症</w:t>
      </w:r>
    </w:p>
    <w:p w14:paraId="7FA6B432"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7.能解释和理解穴位的含义、分类、作用</w:t>
      </w:r>
    </w:p>
    <w:p w14:paraId="395BEFE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8.能说出常见病症的证型</w:t>
      </w:r>
    </w:p>
    <w:p w14:paraId="17104A6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（二）方法能力：</w:t>
      </w:r>
    </w:p>
    <w:p w14:paraId="67038CE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1.具备自学能力，养成良好的学习习惯，为日后的学习打好基础</w:t>
      </w:r>
    </w:p>
    <w:p w14:paraId="0E40CC24"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2.能用网络信息、相关的参考书、专业杂志收集信息，不断的积累知识</w:t>
      </w:r>
    </w:p>
    <w:p w14:paraId="66E4353A"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3.有不耻下问的精神，虚心学习别人的经验，丰富的临床经验</w:t>
      </w:r>
    </w:p>
    <w:p w14:paraId="5BDADC1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4.注重理论联系实际</w:t>
      </w:r>
    </w:p>
    <w:p w14:paraId="763A5F61"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（三）社会能力：</w:t>
      </w:r>
    </w:p>
    <w:p w14:paraId="386A0433"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lastRenderedPageBreak/>
        <w:t>1.有良好的心理素质</w:t>
      </w:r>
    </w:p>
    <w:p w14:paraId="562FEB06"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2.有较强人际沟通能力，口头与书面表达能力</w:t>
      </w:r>
    </w:p>
    <w:p w14:paraId="07581E7F"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3.具有团队精神和协作精神</w:t>
      </w:r>
    </w:p>
    <w:p w14:paraId="5A96B564"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4.具有很强的工作责任感</w:t>
      </w:r>
    </w:p>
    <w:p w14:paraId="62B9B390" w14:textId="77777777" w:rsidR="00000000" w:rsidRDefault="00000000">
      <w:pPr>
        <w:spacing w:line="460" w:lineRule="atLeast"/>
        <w:ind w:firstLine="480"/>
        <w:rPr>
          <w:rFonts w:ascii="仿宋_GB2312" w:eastAsia="仿宋_GB2312" w:hint="eastAsia"/>
          <w:sz w:val="28"/>
          <w:szCs w:val="28"/>
        </w:rPr>
      </w:pPr>
    </w:p>
    <w:p w14:paraId="092A8D48"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课程学时分配如下：</w:t>
      </w:r>
    </w:p>
    <w:tbl>
      <w:tblPr>
        <w:tblW w:w="0" w:type="auto"/>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793"/>
        <w:gridCol w:w="755"/>
        <w:gridCol w:w="2891"/>
        <w:gridCol w:w="985"/>
      </w:tblGrid>
      <w:tr w:rsidR="00000000" w14:paraId="70CA53D7" w14:textId="77777777">
        <w:trPr>
          <w:trHeight w:val="158"/>
          <w:jc w:val="center"/>
        </w:trPr>
        <w:tc>
          <w:tcPr>
            <w:tcW w:w="3793" w:type="dxa"/>
            <w:vAlign w:val="center"/>
          </w:tcPr>
          <w:p w14:paraId="407AC1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章节及内容</w:t>
            </w:r>
          </w:p>
        </w:tc>
        <w:tc>
          <w:tcPr>
            <w:tcW w:w="755" w:type="dxa"/>
            <w:vAlign w:val="center"/>
          </w:tcPr>
          <w:p w14:paraId="405284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理论</w:t>
            </w:r>
          </w:p>
          <w:p w14:paraId="38A9DEA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2891" w:type="dxa"/>
            <w:vAlign w:val="center"/>
          </w:tcPr>
          <w:p w14:paraId="67CF895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教学内容</w:t>
            </w:r>
          </w:p>
        </w:tc>
        <w:tc>
          <w:tcPr>
            <w:tcW w:w="985" w:type="dxa"/>
            <w:tcMar>
              <w:top w:w="0" w:type="dxa"/>
              <w:left w:w="108" w:type="dxa"/>
              <w:bottom w:w="0" w:type="dxa"/>
              <w:right w:w="108" w:type="dxa"/>
            </w:tcMar>
            <w:vAlign w:val="center"/>
          </w:tcPr>
          <w:p w14:paraId="1FD535F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实验</w:t>
            </w:r>
          </w:p>
          <w:p w14:paraId="5184DAC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r>
      <w:tr w:rsidR="00000000" w14:paraId="1AB7E0F7" w14:textId="77777777">
        <w:trPr>
          <w:jc w:val="center"/>
        </w:trPr>
        <w:tc>
          <w:tcPr>
            <w:tcW w:w="3793" w:type="dxa"/>
            <w:vAlign w:val="center"/>
          </w:tcPr>
          <w:p w14:paraId="1CFF64DB" w14:textId="77777777" w:rsidR="00000000" w:rsidRDefault="00000000">
            <w:pPr>
              <w:autoSpaceDE w:val="0"/>
              <w:autoSpaceDN w:val="0"/>
              <w:spacing w:line="460" w:lineRule="atLeast"/>
              <w:ind w:firstLineChars="550" w:firstLine="115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w:t>
            </w:r>
            <w:r>
              <w:rPr>
                <w:rFonts w:ascii="仿宋_GB2312" w:eastAsia="仿宋_GB2312" w:hAnsi="仿宋_GB2312" w:cs="仿宋_GB2312" w:hint="eastAsia"/>
                <w:color w:val="000000"/>
                <w:szCs w:val="21"/>
              </w:rPr>
              <w:t>章</w:t>
            </w:r>
          </w:p>
          <w:p w14:paraId="0CCCE1E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中医护理原则与特点</w:t>
            </w:r>
          </w:p>
        </w:tc>
        <w:tc>
          <w:tcPr>
            <w:tcW w:w="755" w:type="dxa"/>
            <w:vAlign w:val="center"/>
          </w:tcPr>
          <w:p w14:paraId="2B0230A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0E12690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1.掌握中医学及中医护理的含义</w:t>
            </w:r>
          </w:p>
          <w:p w14:paraId="735478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2.了解历代医著、医家对护理的加载和论述</w:t>
            </w:r>
          </w:p>
          <w:p w14:paraId="0AA7639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3.掌握整体观念、辩证施护的概念和内容</w:t>
            </w:r>
          </w:p>
          <w:p w14:paraId="52A4555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056BFC3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37E07686" w14:textId="77777777">
        <w:trPr>
          <w:jc w:val="center"/>
        </w:trPr>
        <w:tc>
          <w:tcPr>
            <w:tcW w:w="3793" w:type="dxa"/>
            <w:vAlign w:val="center"/>
          </w:tcPr>
          <w:p w14:paraId="1B3E176F" w14:textId="77777777" w:rsidR="00000000" w:rsidRDefault="00000000">
            <w:pPr>
              <w:autoSpaceDE w:val="0"/>
              <w:autoSpaceDN w:val="0"/>
              <w:spacing w:line="460" w:lineRule="atLeast"/>
              <w:ind w:firstLineChars="600" w:firstLine="126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2</w:t>
            </w:r>
            <w:r>
              <w:rPr>
                <w:rFonts w:ascii="仿宋_GB2312" w:eastAsia="仿宋_GB2312" w:hAnsi="仿宋_GB2312" w:cs="仿宋_GB2312" w:hint="eastAsia"/>
                <w:color w:val="000000"/>
                <w:szCs w:val="21"/>
              </w:rPr>
              <w:t>章</w:t>
            </w:r>
          </w:p>
          <w:p w14:paraId="3815BD8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中医哲学思想</w:t>
            </w:r>
          </w:p>
        </w:tc>
        <w:tc>
          <w:tcPr>
            <w:tcW w:w="755" w:type="dxa"/>
            <w:vAlign w:val="center"/>
          </w:tcPr>
          <w:p w14:paraId="3515242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color w:val="000000"/>
                <w:szCs w:val="21"/>
              </w:rPr>
              <w:t>2.</w:t>
            </w:r>
          </w:p>
        </w:tc>
        <w:tc>
          <w:tcPr>
            <w:tcW w:w="2891" w:type="dxa"/>
            <w:vAlign w:val="center"/>
          </w:tcPr>
          <w:p w14:paraId="0719083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1.掌握阴阳五行的基本概念</w:t>
            </w:r>
          </w:p>
          <w:p w14:paraId="665E1A1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2.理解阴阳五行说的基本内容</w:t>
            </w:r>
          </w:p>
          <w:p w14:paraId="431B25C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03859CE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6FFDD100" w14:textId="77777777">
        <w:trPr>
          <w:cantSplit/>
          <w:jc w:val="center"/>
        </w:trPr>
        <w:tc>
          <w:tcPr>
            <w:tcW w:w="3793" w:type="dxa"/>
            <w:vAlign w:val="center"/>
          </w:tcPr>
          <w:p w14:paraId="392FC627" w14:textId="77777777" w:rsidR="00000000" w:rsidRDefault="00000000">
            <w:pPr>
              <w:autoSpaceDE w:val="0"/>
              <w:autoSpaceDN w:val="0"/>
              <w:spacing w:line="460" w:lineRule="atLeast"/>
              <w:ind w:firstLineChars="600" w:firstLine="126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3</w:t>
            </w:r>
            <w:r>
              <w:rPr>
                <w:rFonts w:ascii="仿宋_GB2312" w:eastAsia="仿宋_GB2312" w:hAnsi="仿宋_GB2312" w:cs="仿宋_GB2312" w:hint="eastAsia"/>
                <w:color w:val="000000"/>
                <w:szCs w:val="21"/>
              </w:rPr>
              <w:t>章</w:t>
            </w:r>
          </w:p>
          <w:p w14:paraId="78D186F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中医生理</w:t>
            </w:r>
          </w:p>
        </w:tc>
        <w:tc>
          <w:tcPr>
            <w:tcW w:w="755" w:type="dxa"/>
            <w:vAlign w:val="center"/>
          </w:tcPr>
          <w:p w14:paraId="1934299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891" w:type="dxa"/>
            <w:vAlign w:val="center"/>
          </w:tcPr>
          <w:p w14:paraId="012C80F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1.掌握五脏的生理功能及其相互联系</w:t>
            </w:r>
          </w:p>
          <w:p w14:paraId="235C47E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2.能够运用五脏生理功能说明相应的人体生理、病理现象</w:t>
            </w:r>
          </w:p>
          <w:p w14:paraId="263FC11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76DF4F9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2.0</w:t>
            </w:r>
          </w:p>
        </w:tc>
      </w:tr>
      <w:tr w:rsidR="00000000" w14:paraId="3BD79B33" w14:textId="77777777">
        <w:trPr>
          <w:cantSplit/>
          <w:jc w:val="center"/>
        </w:trPr>
        <w:tc>
          <w:tcPr>
            <w:tcW w:w="3793" w:type="dxa"/>
            <w:vAlign w:val="center"/>
          </w:tcPr>
          <w:p w14:paraId="7747CD94"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w:t>
            </w:r>
            <w:r>
              <w:rPr>
                <w:rFonts w:ascii="仿宋_GB2312" w:eastAsia="仿宋_GB2312" w:hAnsi="仿宋_GB2312" w:cs="仿宋_GB2312"/>
                <w:color w:val="000000"/>
                <w:szCs w:val="21"/>
              </w:rPr>
              <w:t>4</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18A6AC3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中医病理</w:t>
            </w:r>
          </w:p>
        </w:tc>
        <w:tc>
          <w:tcPr>
            <w:tcW w:w="755" w:type="dxa"/>
            <w:vAlign w:val="center"/>
          </w:tcPr>
          <w:p w14:paraId="4D2980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4C3E91C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1.掌握外感六淫、内伤七情、饮食劳逸及淤血、痰饮的基本内涵及致病特点</w:t>
            </w:r>
          </w:p>
        </w:tc>
        <w:tc>
          <w:tcPr>
            <w:tcW w:w="985" w:type="dxa"/>
            <w:tcMar>
              <w:top w:w="0" w:type="dxa"/>
              <w:left w:w="108" w:type="dxa"/>
              <w:bottom w:w="0" w:type="dxa"/>
              <w:right w:w="108" w:type="dxa"/>
            </w:tcMar>
            <w:vAlign w:val="center"/>
          </w:tcPr>
          <w:p w14:paraId="176C968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1B60A126" w14:textId="77777777">
        <w:trPr>
          <w:cantSplit/>
          <w:jc w:val="center"/>
        </w:trPr>
        <w:tc>
          <w:tcPr>
            <w:tcW w:w="3793" w:type="dxa"/>
            <w:vAlign w:val="center"/>
          </w:tcPr>
          <w:p w14:paraId="5969CB6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5</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4AADA42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中医诊断</w:t>
            </w:r>
          </w:p>
        </w:tc>
        <w:tc>
          <w:tcPr>
            <w:tcW w:w="755" w:type="dxa"/>
            <w:vAlign w:val="center"/>
          </w:tcPr>
          <w:p w14:paraId="0280708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891" w:type="dxa"/>
            <w:vAlign w:val="center"/>
          </w:tcPr>
          <w:p w14:paraId="1469892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1.掌握望诊：全身情况；局部情况；舌诊</w:t>
            </w:r>
          </w:p>
          <w:p w14:paraId="2FBFEAD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2.了解闻诊：听声音；嗅气味</w:t>
            </w:r>
          </w:p>
          <w:p w14:paraId="70A1687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3.掌握问诊：十问歌的基本内容</w:t>
            </w:r>
          </w:p>
          <w:p w14:paraId="7B316AB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4.了解切诊：正常脉象和16种常见病脉</w:t>
            </w:r>
          </w:p>
          <w:p w14:paraId="31D774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31A4D3D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208E24BA" w14:textId="77777777">
        <w:trPr>
          <w:cantSplit/>
          <w:jc w:val="center"/>
        </w:trPr>
        <w:tc>
          <w:tcPr>
            <w:tcW w:w="3793" w:type="dxa"/>
            <w:vAlign w:val="center"/>
          </w:tcPr>
          <w:p w14:paraId="6512FCCE"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6</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2479480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中医防治</w:t>
            </w:r>
          </w:p>
        </w:tc>
        <w:tc>
          <w:tcPr>
            <w:tcW w:w="755" w:type="dxa"/>
            <w:vAlign w:val="center"/>
          </w:tcPr>
          <w:p w14:paraId="5BCDCC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0132CEC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1.预防：未病先防；既病防变</w:t>
            </w:r>
          </w:p>
          <w:p w14:paraId="1533D41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2.治疗原则：调整阴阳；扶正驱邪；三因制宜</w:t>
            </w:r>
          </w:p>
          <w:p w14:paraId="005CD68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3.治疗八法：汗、吐、下、和、温、清、补、消</w:t>
            </w:r>
          </w:p>
          <w:p w14:paraId="049F637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71B7503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364F64CA" w14:textId="77777777">
        <w:trPr>
          <w:cantSplit/>
          <w:jc w:val="center"/>
        </w:trPr>
        <w:tc>
          <w:tcPr>
            <w:tcW w:w="3793" w:type="dxa"/>
            <w:vAlign w:val="center"/>
          </w:tcPr>
          <w:p w14:paraId="0823C68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7</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5F8392B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整体调护</w:t>
            </w:r>
          </w:p>
        </w:tc>
        <w:tc>
          <w:tcPr>
            <w:tcW w:w="755" w:type="dxa"/>
            <w:vAlign w:val="center"/>
          </w:tcPr>
          <w:p w14:paraId="55A04B6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891" w:type="dxa"/>
            <w:vAlign w:val="center"/>
          </w:tcPr>
          <w:p w14:paraId="0178740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1.整体调护的概念及特点</w:t>
            </w:r>
          </w:p>
          <w:p w14:paraId="0506DA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2.护理程序在中医护理工作中的应用</w:t>
            </w:r>
          </w:p>
        </w:tc>
        <w:tc>
          <w:tcPr>
            <w:tcW w:w="985" w:type="dxa"/>
            <w:tcMar>
              <w:top w:w="0" w:type="dxa"/>
              <w:left w:w="108" w:type="dxa"/>
              <w:bottom w:w="0" w:type="dxa"/>
              <w:right w:w="108" w:type="dxa"/>
            </w:tcMar>
            <w:vAlign w:val="center"/>
          </w:tcPr>
          <w:p w14:paraId="72F82FD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270E0072" w14:textId="77777777">
        <w:trPr>
          <w:cantSplit/>
          <w:jc w:val="center"/>
        </w:trPr>
        <w:tc>
          <w:tcPr>
            <w:tcW w:w="3793" w:type="dxa"/>
            <w:vAlign w:val="center"/>
          </w:tcPr>
          <w:p w14:paraId="1EDA575A"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8</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3955D37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一般调护</w:t>
            </w:r>
          </w:p>
        </w:tc>
        <w:tc>
          <w:tcPr>
            <w:tcW w:w="755" w:type="dxa"/>
            <w:vAlign w:val="center"/>
          </w:tcPr>
          <w:p w14:paraId="2C9F3A4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1.0</w:t>
            </w:r>
          </w:p>
        </w:tc>
        <w:tc>
          <w:tcPr>
            <w:tcW w:w="2891" w:type="dxa"/>
            <w:vAlign w:val="center"/>
          </w:tcPr>
          <w:p w14:paraId="738C784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1.病情观察</w:t>
            </w:r>
          </w:p>
          <w:p w14:paraId="6EEF59F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2掌握病室病床要求</w:t>
            </w:r>
          </w:p>
          <w:p w14:paraId="6F5B43A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3一般调护的内容</w:t>
            </w:r>
          </w:p>
          <w:p w14:paraId="1B3F3F4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646C3A8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148D8CA2" w14:textId="77777777">
        <w:trPr>
          <w:cantSplit/>
          <w:jc w:val="center"/>
        </w:trPr>
        <w:tc>
          <w:tcPr>
            <w:tcW w:w="3793" w:type="dxa"/>
            <w:vAlign w:val="center"/>
          </w:tcPr>
          <w:p w14:paraId="5F33E01E"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w:t>
            </w:r>
            <w:r>
              <w:rPr>
                <w:rFonts w:ascii="仿宋_GB2312" w:eastAsia="仿宋_GB2312" w:hAnsi="仿宋_GB2312" w:cs="仿宋_GB2312"/>
                <w:color w:val="000000"/>
                <w:szCs w:val="21"/>
              </w:rPr>
              <w:t>9</w:t>
            </w: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p>
          <w:p w14:paraId="6429BC6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饮食护理</w:t>
            </w:r>
          </w:p>
        </w:tc>
        <w:tc>
          <w:tcPr>
            <w:tcW w:w="755" w:type="dxa"/>
            <w:vAlign w:val="center"/>
          </w:tcPr>
          <w:p w14:paraId="302DD5F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697766E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1食物结构的分类</w:t>
            </w:r>
          </w:p>
          <w:p w14:paraId="24B3D93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2.食物的寒热分类</w:t>
            </w:r>
          </w:p>
          <w:p w14:paraId="22A1651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3.食物的五味分类</w:t>
            </w:r>
          </w:p>
          <w:p w14:paraId="24AF966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4.饮食调护的原则</w:t>
            </w:r>
          </w:p>
          <w:p w14:paraId="7F296A4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tc>
        <w:tc>
          <w:tcPr>
            <w:tcW w:w="985" w:type="dxa"/>
            <w:tcMar>
              <w:top w:w="0" w:type="dxa"/>
              <w:left w:w="108" w:type="dxa"/>
              <w:bottom w:w="0" w:type="dxa"/>
              <w:right w:w="108" w:type="dxa"/>
            </w:tcMar>
            <w:vAlign w:val="center"/>
          </w:tcPr>
          <w:p w14:paraId="72DEC12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p w14:paraId="66A4677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C21C43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670CA6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7012484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086CC59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FE4B8A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p>
        </w:tc>
      </w:tr>
      <w:tr w:rsidR="00000000" w14:paraId="1BC4B761" w14:textId="77777777">
        <w:trPr>
          <w:cantSplit/>
          <w:trHeight w:val="465"/>
          <w:jc w:val="center"/>
        </w:trPr>
        <w:tc>
          <w:tcPr>
            <w:tcW w:w="3793" w:type="dxa"/>
            <w:vAlign w:val="center"/>
          </w:tcPr>
          <w:p w14:paraId="1558D6C8"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w:t>
            </w:r>
            <w:r>
              <w:rPr>
                <w:rFonts w:ascii="仿宋_GB2312" w:eastAsia="仿宋_GB2312" w:hAnsi="仿宋_GB2312" w:cs="仿宋_GB2312"/>
                <w:color w:val="000000"/>
                <w:szCs w:val="21"/>
              </w:rPr>
              <w:t>10</w:t>
            </w:r>
            <w:r>
              <w:rPr>
                <w:rFonts w:ascii="仿宋_GB2312" w:eastAsia="仿宋_GB2312" w:hAnsi="仿宋_GB2312" w:cs="仿宋_GB2312" w:hint="eastAsia"/>
                <w:color w:val="000000"/>
                <w:szCs w:val="21"/>
              </w:rPr>
              <w:t>章</w:t>
            </w:r>
          </w:p>
          <w:p w14:paraId="0C34656A" w14:textId="77777777" w:rsidR="00000000" w:rsidRDefault="00000000">
            <w:pPr>
              <w:autoSpaceDE w:val="0"/>
              <w:autoSpaceDN w:val="0"/>
              <w:spacing w:line="460" w:lineRule="atLeast"/>
              <w:ind w:firstLineChars="50" w:firstLine="105"/>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情志调护</w:t>
            </w:r>
            <w:r>
              <w:rPr>
                <w:rFonts w:ascii="仿宋_GB2312" w:eastAsia="仿宋_GB2312" w:hAnsi="仿宋_GB2312" w:cs="仿宋_GB2312"/>
                <w:color w:val="000000"/>
                <w:szCs w:val="21"/>
              </w:rPr>
              <w:t xml:space="preserve"> </w:t>
            </w:r>
          </w:p>
        </w:tc>
        <w:tc>
          <w:tcPr>
            <w:tcW w:w="755" w:type="dxa"/>
            <w:vAlign w:val="center"/>
          </w:tcPr>
          <w:p w14:paraId="5123542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5360EC7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1.七情与疾病</w:t>
            </w:r>
          </w:p>
          <w:p w14:paraId="485C217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 xml:space="preserve">2.情志的调护                    </w:t>
            </w:r>
          </w:p>
        </w:tc>
        <w:tc>
          <w:tcPr>
            <w:tcW w:w="985" w:type="dxa"/>
            <w:tcMar>
              <w:top w:w="0" w:type="dxa"/>
              <w:left w:w="108" w:type="dxa"/>
              <w:bottom w:w="0" w:type="dxa"/>
              <w:right w:w="108" w:type="dxa"/>
            </w:tcMar>
            <w:vAlign w:val="center"/>
          </w:tcPr>
          <w:p w14:paraId="117DA23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3EF4F19D" w14:textId="77777777">
        <w:trPr>
          <w:cantSplit/>
          <w:trHeight w:val="471"/>
          <w:jc w:val="center"/>
        </w:trPr>
        <w:tc>
          <w:tcPr>
            <w:tcW w:w="3793" w:type="dxa"/>
            <w:vAlign w:val="center"/>
          </w:tcPr>
          <w:p w14:paraId="64BBBBD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第11章</w:t>
            </w:r>
          </w:p>
          <w:p w14:paraId="1121D20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运动调护</w:t>
            </w:r>
          </w:p>
        </w:tc>
        <w:tc>
          <w:tcPr>
            <w:tcW w:w="755" w:type="dxa"/>
            <w:vAlign w:val="center"/>
          </w:tcPr>
          <w:p w14:paraId="5983A68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2A99055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1.掌握运动类型及运动与健康的关系</w:t>
            </w:r>
          </w:p>
          <w:p w14:paraId="4B6E316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2.劳逸结合，生命在于适度运动</w:t>
            </w:r>
          </w:p>
        </w:tc>
        <w:tc>
          <w:tcPr>
            <w:tcW w:w="985" w:type="dxa"/>
            <w:tcMar>
              <w:top w:w="0" w:type="dxa"/>
              <w:left w:w="108" w:type="dxa"/>
              <w:bottom w:w="0" w:type="dxa"/>
              <w:right w:w="108" w:type="dxa"/>
            </w:tcMar>
            <w:vAlign w:val="center"/>
          </w:tcPr>
          <w:p w14:paraId="5D69CD4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0</w:t>
            </w:r>
          </w:p>
        </w:tc>
      </w:tr>
      <w:tr w:rsidR="00000000" w14:paraId="6F218833" w14:textId="77777777">
        <w:trPr>
          <w:cantSplit/>
          <w:trHeight w:val="468"/>
          <w:jc w:val="center"/>
        </w:trPr>
        <w:tc>
          <w:tcPr>
            <w:tcW w:w="3793" w:type="dxa"/>
            <w:vAlign w:val="center"/>
          </w:tcPr>
          <w:p w14:paraId="55E5DF30"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第12章</w:t>
            </w:r>
          </w:p>
          <w:p w14:paraId="6EB01564"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环境调护</w:t>
            </w:r>
          </w:p>
        </w:tc>
        <w:tc>
          <w:tcPr>
            <w:tcW w:w="755" w:type="dxa"/>
            <w:vAlign w:val="center"/>
          </w:tcPr>
          <w:p w14:paraId="74319F2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891" w:type="dxa"/>
            <w:vAlign w:val="center"/>
          </w:tcPr>
          <w:p w14:paraId="2EB4794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1.掌握气候、地域及社会环境与阴阳变化的关系；生态环境与健康</w:t>
            </w:r>
          </w:p>
          <w:p w14:paraId="5C9E9E3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2.季节、昼夜环境与阴阳变化</w:t>
            </w:r>
          </w:p>
          <w:p w14:paraId="4C27BD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3.地域、住所环境与阴阳变化</w:t>
            </w:r>
          </w:p>
          <w:p w14:paraId="2B9CDEF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4.社会、人文环境与阴阳变化</w:t>
            </w:r>
          </w:p>
        </w:tc>
        <w:tc>
          <w:tcPr>
            <w:tcW w:w="985" w:type="dxa"/>
            <w:tcMar>
              <w:top w:w="0" w:type="dxa"/>
              <w:left w:w="108" w:type="dxa"/>
              <w:bottom w:w="0" w:type="dxa"/>
              <w:right w:w="108" w:type="dxa"/>
            </w:tcMar>
            <w:vAlign w:val="center"/>
          </w:tcPr>
          <w:p w14:paraId="3C21936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4A992A80" w14:textId="77777777">
        <w:trPr>
          <w:cantSplit/>
          <w:trHeight w:val="468"/>
          <w:jc w:val="center"/>
        </w:trPr>
        <w:tc>
          <w:tcPr>
            <w:tcW w:w="3793" w:type="dxa"/>
            <w:vAlign w:val="center"/>
          </w:tcPr>
          <w:p w14:paraId="7472F0EE"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第13章</w:t>
            </w:r>
          </w:p>
          <w:p w14:paraId="7891C395"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用药护理</w:t>
            </w:r>
          </w:p>
        </w:tc>
        <w:tc>
          <w:tcPr>
            <w:tcW w:w="755" w:type="dxa"/>
            <w:vAlign w:val="center"/>
          </w:tcPr>
          <w:p w14:paraId="0B09255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2891" w:type="dxa"/>
            <w:vAlign w:val="center"/>
          </w:tcPr>
          <w:p w14:paraId="78EA37F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1.中药性能：四气、五味、归经、升降浮沉、毒性</w:t>
            </w:r>
          </w:p>
          <w:p w14:paraId="4C721C3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2.常用中药分类</w:t>
            </w:r>
          </w:p>
          <w:p w14:paraId="50B1D61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3.常用中药剂型</w:t>
            </w:r>
          </w:p>
          <w:p w14:paraId="516EA4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4.中药煎药、给药法</w:t>
            </w:r>
          </w:p>
        </w:tc>
        <w:tc>
          <w:tcPr>
            <w:tcW w:w="985" w:type="dxa"/>
            <w:tcMar>
              <w:top w:w="0" w:type="dxa"/>
              <w:left w:w="108" w:type="dxa"/>
              <w:bottom w:w="0" w:type="dxa"/>
              <w:right w:w="108" w:type="dxa"/>
            </w:tcMar>
            <w:vAlign w:val="center"/>
          </w:tcPr>
          <w:p w14:paraId="1CAA415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r>
      <w:tr w:rsidR="00000000" w14:paraId="4818175A" w14:textId="77777777">
        <w:trPr>
          <w:cantSplit/>
          <w:trHeight w:val="468"/>
          <w:jc w:val="center"/>
        </w:trPr>
        <w:tc>
          <w:tcPr>
            <w:tcW w:w="3793" w:type="dxa"/>
            <w:vAlign w:val="center"/>
          </w:tcPr>
          <w:p w14:paraId="71005B6C"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第14章</w:t>
            </w:r>
          </w:p>
          <w:p w14:paraId="35C01FCB" w14:textId="77777777" w:rsidR="00000000" w:rsidRDefault="00000000">
            <w:pPr>
              <w:autoSpaceDE w:val="0"/>
              <w:autoSpaceDN w:val="0"/>
              <w:spacing w:line="460" w:lineRule="atLeast"/>
              <w:ind w:firstLineChars="650" w:firstLine="1365"/>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针灸调护</w:t>
            </w:r>
          </w:p>
        </w:tc>
        <w:tc>
          <w:tcPr>
            <w:tcW w:w="755" w:type="dxa"/>
            <w:vAlign w:val="center"/>
          </w:tcPr>
          <w:p w14:paraId="26907568"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2891" w:type="dxa"/>
            <w:vAlign w:val="center"/>
          </w:tcPr>
          <w:p w14:paraId="0EF4D54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1.经络的概念和经络系统的组成</w:t>
            </w:r>
          </w:p>
          <w:p w14:paraId="61A6A4A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2.腧穴的概念和常用穴位；十四经50多个常用穴位</w:t>
            </w:r>
          </w:p>
          <w:p w14:paraId="5106E29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3。各种针灸方法及拓展</w:t>
            </w:r>
          </w:p>
          <w:p w14:paraId="1030CCB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4.推拿基本手法</w:t>
            </w:r>
          </w:p>
        </w:tc>
        <w:tc>
          <w:tcPr>
            <w:tcW w:w="985" w:type="dxa"/>
            <w:tcMar>
              <w:top w:w="0" w:type="dxa"/>
              <w:left w:w="108" w:type="dxa"/>
              <w:bottom w:w="0" w:type="dxa"/>
              <w:right w:w="108" w:type="dxa"/>
            </w:tcMar>
            <w:vAlign w:val="center"/>
          </w:tcPr>
          <w:p w14:paraId="3B29A7D3"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r>
      <w:tr w:rsidR="00000000" w14:paraId="22B8C18E" w14:textId="77777777">
        <w:trPr>
          <w:trHeight w:val="337"/>
          <w:jc w:val="center"/>
        </w:trPr>
        <w:tc>
          <w:tcPr>
            <w:tcW w:w="3793" w:type="dxa"/>
            <w:vAlign w:val="center"/>
          </w:tcPr>
          <w:p w14:paraId="5F44BF6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755" w:type="dxa"/>
            <w:vAlign w:val="center"/>
          </w:tcPr>
          <w:p w14:paraId="6B6F6E84"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40</w:t>
            </w:r>
          </w:p>
        </w:tc>
        <w:tc>
          <w:tcPr>
            <w:tcW w:w="2891" w:type="dxa"/>
            <w:vAlign w:val="center"/>
          </w:tcPr>
          <w:p w14:paraId="2CEF9C3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85" w:type="dxa"/>
            <w:tcMar>
              <w:top w:w="0" w:type="dxa"/>
              <w:left w:w="108" w:type="dxa"/>
              <w:bottom w:w="0" w:type="dxa"/>
              <w:right w:w="108" w:type="dxa"/>
            </w:tcMar>
            <w:vAlign w:val="center"/>
          </w:tcPr>
          <w:p w14:paraId="7F48B0E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w:t>
            </w:r>
          </w:p>
        </w:tc>
      </w:tr>
    </w:tbl>
    <w:p w14:paraId="24E61A76" w14:textId="77777777" w:rsidR="00000000" w:rsidRDefault="00000000">
      <w:pPr>
        <w:spacing w:line="460" w:lineRule="atLeast"/>
        <w:ind w:firstLineChars="200" w:firstLine="482"/>
        <w:rPr>
          <w:rFonts w:ascii="宋体"/>
          <w:b/>
          <w:bCs/>
          <w:sz w:val="24"/>
        </w:rPr>
      </w:pPr>
      <w:r>
        <w:rPr>
          <w:rFonts w:ascii="宋体" w:hAnsi="宋体" w:hint="eastAsia"/>
          <w:b/>
          <w:bCs/>
          <w:sz w:val="24"/>
        </w:rPr>
        <w:t>【教学时间安排】</w:t>
      </w:r>
    </w:p>
    <w:p w14:paraId="2A91EB59"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本课程计54学时</w:t>
      </w:r>
      <w:r>
        <w:rPr>
          <w:rFonts w:ascii="仿宋_GB2312" w:eastAsia="仿宋_GB2312"/>
          <w:sz w:val="28"/>
          <w:szCs w:val="28"/>
        </w:rPr>
        <w:t xml:space="preserve">, </w:t>
      </w:r>
      <w:r>
        <w:rPr>
          <w:rFonts w:ascii="仿宋_GB2312" w:eastAsia="仿宋_GB2312" w:hint="eastAsia"/>
          <w:sz w:val="28"/>
          <w:szCs w:val="28"/>
        </w:rPr>
        <w:t>其中理论占40学时，学时分配如下：</w:t>
      </w:r>
    </w:p>
    <w:p w14:paraId="3AFE7DF0" w14:textId="77777777" w:rsidR="00000000" w:rsidRDefault="00000000">
      <w:pPr>
        <w:spacing w:line="460" w:lineRule="atLeast"/>
        <w:ind w:firstLineChars="200" w:firstLine="482"/>
        <w:jc w:val="center"/>
        <w:rPr>
          <w:rFonts w:ascii="宋体"/>
          <w:b/>
          <w:sz w:val="24"/>
        </w:rPr>
      </w:pPr>
      <w:r>
        <w:rPr>
          <w:rFonts w:ascii="宋体" w:hAnsi="宋体" w:hint="eastAsia"/>
          <w:b/>
          <w:sz w:val="24"/>
        </w:rPr>
        <w:t>表</w:t>
      </w:r>
      <w:r>
        <w:rPr>
          <w:rFonts w:ascii="宋体" w:hAnsi="宋体"/>
          <w:b/>
          <w:sz w:val="24"/>
        </w:rPr>
        <w:t xml:space="preserve">1  </w:t>
      </w:r>
      <w:r>
        <w:rPr>
          <w:rFonts w:ascii="宋体" w:hAnsi="宋体" w:hint="eastAsia"/>
          <w:b/>
          <w:sz w:val="24"/>
        </w:rPr>
        <w:t>理论教学学时分配表（总学时：40学时）</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3738"/>
        <w:gridCol w:w="900"/>
        <w:gridCol w:w="2023"/>
      </w:tblGrid>
      <w:tr w:rsidR="00000000" w14:paraId="5C32B455" w14:textId="77777777">
        <w:trPr>
          <w:jc w:val="center"/>
        </w:trPr>
        <w:tc>
          <w:tcPr>
            <w:tcW w:w="2130" w:type="dxa"/>
            <w:vAlign w:val="center"/>
          </w:tcPr>
          <w:p w14:paraId="50323A6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章</w:t>
            </w:r>
            <w:r>
              <w:rPr>
                <w:rFonts w:ascii="仿宋_GB2312" w:eastAsia="仿宋_GB2312" w:hAnsi="仿宋_GB2312" w:cs="仿宋_GB2312"/>
                <w:color w:val="000000"/>
                <w:szCs w:val="21"/>
              </w:rPr>
              <w:t xml:space="preserve">     </w:t>
            </w:r>
            <w:r>
              <w:rPr>
                <w:rFonts w:ascii="仿宋_GB2312" w:eastAsia="仿宋_GB2312" w:hAnsi="仿宋_GB2312" w:cs="仿宋_GB2312" w:hint="eastAsia"/>
                <w:color w:val="000000"/>
                <w:szCs w:val="21"/>
              </w:rPr>
              <w:t>节</w:t>
            </w:r>
          </w:p>
        </w:tc>
        <w:tc>
          <w:tcPr>
            <w:tcW w:w="3738" w:type="dxa"/>
            <w:vAlign w:val="center"/>
          </w:tcPr>
          <w:p w14:paraId="31F74F9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授课内容</w:t>
            </w:r>
          </w:p>
        </w:tc>
        <w:tc>
          <w:tcPr>
            <w:tcW w:w="900" w:type="dxa"/>
            <w:vAlign w:val="center"/>
          </w:tcPr>
          <w:p w14:paraId="77B458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学时</w:t>
            </w:r>
          </w:p>
        </w:tc>
        <w:tc>
          <w:tcPr>
            <w:tcW w:w="2023" w:type="dxa"/>
            <w:vAlign w:val="center"/>
          </w:tcPr>
          <w:p w14:paraId="5CC066C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备注</w:t>
            </w:r>
          </w:p>
        </w:tc>
      </w:tr>
      <w:tr w:rsidR="00000000" w14:paraId="37571361" w14:textId="77777777">
        <w:trPr>
          <w:trHeight w:val="233"/>
          <w:jc w:val="center"/>
        </w:trPr>
        <w:tc>
          <w:tcPr>
            <w:tcW w:w="2130" w:type="dxa"/>
            <w:vAlign w:val="center"/>
          </w:tcPr>
          <w:p w14:paraId="203CFFE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第一章</w:t>
            </w:r>
          </w:p>
        </w:tc>
        <w:tc>
          <w:tcPr>
            <w:tcW w:w="3738" w:type="dxa"/>
            <w:vAlign w:val="center"/>
          </w:tcPr>
          <w:p w14:paraId="5F318D9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中医护理原则和特点</w:t>
            </w:r>
          </w:p>
        </w:tc>
        <w:tc>
          <w:tcPr>
            <w:tcW w:w="900" w:type="dxa"/>
            <w:vAlign w:val="center"/>
          </w:tcPr>
          <w:p w14:paraId="0B11C9C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44777F2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12EAFD32" w14:textId="77777777">
        <w:trPr>
          <w:trHeight w:val="232"/>
          <w:jc w:val="center"/>
        </w:trPr>
        <w:tc>
          <w:tcPr>
            <w:tcW w:w="2130" w:type="dxa"/>
            <w:vAlign w:val="center"/>
          </w:tcPr>
          <w:p w14:paraId="228F39E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第二章</w:t>
            </w:r>
          </w:p>
        </w:tc>
        <w:tc>
          <w:tcPr>
            <w:tcW w:w="3738" w:type="dxa"/>
            <w:vAlign w:val="center"/>
          </w:tcPr>
          <w:p w14:paraId="6BACCED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中医哲学思想</w:t>
            </w:r>
          </w:p>
        </w:tc>
        <w:tc>
          <w:tcPr>
            <w:tcW w:w="900" w:type="dxa"/>
            <w:vAlign w:val="center"/>
          </w:tcPr>
          <w:p w14:paraId="5F89223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2AF1A24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D8D99E9" w14:textId="77777777">
        <w:trPr>
          <w:jc w:val="center"/>
        </w:trPr>
        <w:tc>
          <w:tcPr>
            <w:tcW w:w="2130" w:type="dxa"/>
            <w:vAlign w:val="center"/>
          </w:tcPr>
          <w:p w14:paraId="5C002F9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第三章</w:t>
            </w:r>
          </w:p>
        </w:tc>
        <w:tc>
          <w:tcPr>
            <w:tcW w:w="3738" w:type="dxa"/>
            <w:vAlign w:val="center"/>
          </w:tcPr>
          <w:p w14:paraId="0E2FB30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中医生理</w:t>
            </w:r>
          </w:p>
        </w:tc>
        <w:tc>
          <w:tcPr>
            <w:tcW w:w="900" w:type="dxa"/>
            <w:vAlign w:val="center"/>
          </w:tcPr>
          <w:p w14:paraId="56F45D0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w:t>
            </w:r>
          </w:p>
        </w:tc>
        <w:tc>
          <w:tcPr>
            <w:tcW w:w="2023" w:type="dxa"/>
            <w:vAlign w:val="center"/>
          </w:tcPr>
          <w:p w14:paraId="77A1999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D11333E" w14:textId="77777777">
        <w:trPr>
          <w:jc w:val="center"/>
        </w:trPr>
        <w:tc>
          <w:tcPr>
            <w:tcW w:w="2130" w:type="dxa"/>
            <w:vAlign w:val="center"/>
          </w:tcPr>
          <w:p w14:paraId="0C563CB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第四章</w:t>
            </w:r>
          </w:p>
        </w:tc>
        <w:tc>
          <w:tcPr>
            <w:tcW w:w="3738" w:type="dxa"/>
            <w:vAlign w:val="center"/>
          </w:tcPr>
          <w:p w14:paraId="6363ED6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中医病理</w:t>
            </w:r>
          </w:p>
        </w:tc>
        <w:tc>
          <w:tcPr>
            <w:tcW w:w="900" w:type="dxa"/>
            <w:vAlign w:val="center"/>
          </w:tcPr>
          <w:p w14:paraId="0B9685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2023" w:type="dxa"/>
            <w:vAlign w:val="center"/>
          </w:tcPr>
          <w:p w14:paraId="28818D2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410AEFAA" w14:textId="77777777">
        <w:trPr>
          <w:jc w:val="center"/>
        </w:trPr>
        <w:tc>
          <w:tcPr>
            <w:tcW w:w="2130" w:type="dxa"/>
            <w:vAlign w:val="center"/>
          </w:tcPr>
          <w:p w14:paraId="67E780B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第五章</w:t>
            </w:r>
          </w:p>
        </w:tc>
        <w:tc>
          <w:tcPr>
            <w:tcW w:w="3738" w:type="dxa"/>
            <w:vAlign w:val="center"/>
          </w:tcPr>
          <w:p w14:paraId="37424A0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中医诊断</w:t>
            </w:r>
          </w:p>
        </w:tc>
        <w:tc>
          <w:tcPr>
            <w:tcW w:w="900" w:type="dxa"/>
            <w:vAlign w:val="center"/>
          </w:tcPr>
          <w:p w14:paraId="051F661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2023" w:type="dxa"/>
            <w:vAlign w:val="center"/>
          </w:tcPr>
          <w:p w14:paraId="209CF90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5C31BE93" w14:textId="77777777">
        <w:trPr>
          <w:jc w:val="center"/>
        </w:trPr>
        <w:tc>
          <w:tcPr>
            <w:tcW w:w="2130" w:type="dxa"/>
            <w:vAlign w:val="center"/>
          </w:tcPr>
          <w:p w14:paraId="5B9930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第六章</w:t>
            </w:r>
          </w:p>
        </w:tc>
        <w:tc>
          <w:tcPr>
            <w:tcW w:w="3738" w:type="dxa"/>
            <w:vAlign w:val="center"/>
          </w:tcPr>
          <w:p w14:paraId="1EE03C7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中医防治</w:t>
            </w:r>
          </w:p>
        </w:tc>
        <w:tc>
          <w:tcPr>
            <w:tcW w:w="900" w:type="dxa"/>
            <w:vAlign w:val="center"/>
          </w:tcPr>
          <w:p w14:paraId="1B7B95CB"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6F2E3EF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3F62B2B5" w14:textId="77777777">
        <w:trPr>
          <w:jc w:val="center"/>
        </w:trPr>
        <w:tc>
          <w:tcPr>
            <w:tcW w:w="2130" w:type="dxa"/>
            <w:vAlign w:val="center"/>
          </w:tcPr>
          <w:p w14:paraId="7B69068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第七章</w:t>
            </w:r>
          </w:p>
        </w:tc>
        <w:tc>
          <w:tcPr>
            <w:tcW w:w="3738" w:type="dxa"/>
            <w:vAlign w:val="center"/>
          </w:tcPr>
          <w:p w14:paraId="072D912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整体调护</w:t>
            </w:r>
          </w:p>
        </w:tc>
        <w:tc>
          <w:tcPr>
            <w:tcW w:w="900" w:type="dxa"/>
            <w:vAlign w:val="center"/>
          </w:tcPr>
          <w:p w14:paraId="7A25C8D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023" w:type="dxa"/>
            <w:vAlign w:val="center"/>
          </w:tcPr>
          <w:p w14:paraId="1697249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37E7290" w14:textId="77777777">
        <w:trPr>
          <w:jc w:val="center"/>
        </w:trPr>
        <w:tc>
          <w:tcPr>
            <w:tcW w:w="2130" w:type="dxa"/>
            <w:vAlign w:val="center"/>
          </w:tcPr>
          <w:p w14:paraId="486E900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第八章</w:t>
            </w:r>
          </w:p>
        </w:tc>
        <w:tc>
          <w:tcPr>
            <w:tcW w:w="3738" w:type="dxa"/>
            <w:vAlign w:val="center"/>
          </w:tcPr>
          <w:p w14:paraId="549891A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一般调护</w:t>
            </w:r>
          </w:p>
        </w:tc>
        <w:tc>
          <w:tcPr>
            <w:tcW w:w="900" w:type="dxa"/>
            <w:vAlign w:val="center"/>
          </w:tcPr>
          <w:p w14:paraId="7C1841C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w:t>
            </w:r>
          </w:p>
        </w:tc>
        <w:tc>
          <w:tcPr>
            <w:tcW w:w="2023" w:type="dxa"/>
            <w:vAlign w:val="center"/>
          </w:tcPr>
          <w:p w14:paraId="499F68A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81D40B9" w14:textId="77777777">
        <w:trPr>
          <w:jc w:val="center"/>
        </w:trPr>
        <w:tc>
          <w:tcPr>
            <w:tcW w:w="2130" w:type="dxa"/>
            <w:vAlign w:val="center"/>
          </w:tcPr>
          <w:p w14:paraId="24FDB20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第九章</w:t>
            </w:r>
          </w:p>
        </w:tc>
        <w:tc>
          <w:tcPr>
            <w:tcW w:w="3738" w:type="dxa"/>
            <w:vAlign w:val="center"/>
          </w:tcPr>
          <w:p w14:paraId="33A303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饮食护理</w:t>
            </w:r>
          </w:p>
        </w:tc>
        <w:tc>
          <w:tcPr>
            <w:tcW w:w="900" w:type="dxa"/>
            <w:vAlign w:val="center"/>
          </w:tcPr>
          <w:p w14:paraId="0FD08427"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4D6A752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404F79BC" w14:textId="77777777">
        <w:trPr>
          <w:trHeight w:val="93"/>
          <w:jc w:val="center"/>
        </w:trPr>
        <w:tc>
          <w:tcPr>
            <w:tcW w:w="2130" w:type="dxa"/>
            <w:vAlign w:val="center"/>
          </w:tcPr>
          <w:p w14:paraId="6548ADB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第十章</w:t>
            </w:r>
          </w:p>
        </w:tc>
        <w:tc>
          <w:tcPr>
            <w:tcW w:w="3738" w:type="dxa"/>
            <w:vAlign w:val="center"/>
          </w:tcPr>
          <w:p w14:paraId="303DC57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情志调护</w:t>
            </w:r>
          </w:p>
        </w:tc>
        <w:tc>
          <w:tcPr>
            <w:tcW w:w="900" w:type="dxa"/>
            <w:vAlign w:val="center"/>
          </w:tcPr>
          <w:p w14:paraId="4CCC1F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4DEAB5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24ECD3C9" w14:textId="77777777">
        <w:trPr>
          <w:trHeight w:val="93"/>
          <w:jc w:val="center"/>
        </w:trPr>
        <w:tc>
          <w:tcPr>
            <w:tcW w:w="2130" w:type="dxa"/>
            <w:vAlign w:val="center"/>
          </w:tcPr>
          <w:p w14:paraId="43FDFFB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第十一章</w:t>
            </w:r>
          </w:p>
        </w:tc>
        <w:tc>
          <w:tcPr>
            <w:tcW w:w="3738" w:type="dxa"/>
            <w:vAlign w:val="center"/>
          </w:tcPr>
          <w:p w14:paraId="0247978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运动调护</w:t>
            </w:r>
          </w:p>
        </w:tc>
        <w:tc>
          <w:tcPr>
            <w:tcW w:w="900" w:type="dxa"/>
            <w:vAlign w:val="center"/>
          </w:tcPr>
          <w:p w14:paraId="0F8BCDB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015E97A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3643C935" w14:textId="77777777">
        <w:trPr>
          <w:trHeight w:val="93"/>
          <w:jc w:val="center"/>
        </w:trPr>
        <w:tc>
          <w:tcPr>
            <w:tcW w:w="2130" w:type="dxa"/>
            <w:vAlign w:val="center"/>
          </w:tcPr>
          <w:p w14:paraId="2C85920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第十二章</w:t>
            </w:r>
          </w:p>
        </w:tc>
        <w:tc>
          <w:tcPr>
            <w:tcW w:w="3738" w:type="dxa"/>
            <w:vAlign w:val="center"/>
          </w:tcPr>
          <w:p w14:paraId="1B3ED006"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环境调护</w:t>
            </w:r>
          </w:p>
        </w:tc>
        <w:tc>
          <w:tcPr>
            <w:tcW w:w="900" w:type="dxa"/>
            <w:vAlign w:val="center"/>
          </w:tcPr>
          <w:p w14:paraId="53BF32F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w:t>
            </w:r>
          </w:p>
        </w:tc>
        <w:tc>
          <w:tcPr>
            <w:tcW w:w="2023" w:type="dxa"/>
            <w:vAlign w:val="center"/>
          </w:tcPr>
          <w:p w14:paraId="6913C39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57CC2A91" w14:textId="77777777">
        <w:trPr>
          <w:trHeight w:val="93"/>
          <w:jc w:val="center"/>
        </w:trPr>
        <w:tc>
          <w:tcPr>
            <w:tcW w:w="2130" w:type="dxa"/>
            <w:vAlign w:val="center"/>
          </w:tcPr>
          <w:p w14:paraId="618ABD0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第十三章</w:t>
            </w:r>
          </w:p>
        </w:tc>
        <w:tc>
          <w:tcPr>
            <w:tcW w:w="3738" w:type="dxa"/>
            <w:vAlign w:val="center"/>
          </w:tcPr>
          <w:p w14:paraId="2283DB3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用药护理</w:t>
            </w:r>
          </w:p>
        </w:tc>
        <w:tc>
          <w:tcPr>
            <w:tcW w:w="900" w:type="dxa"/>
            <w:vAlign w:val="center"/>
          </w:tcPr>
          <w:p w14:paraId="377E977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w:t>
            </w:r>
          </w:p>
        </w:tc>
        <w:tc>
          <w:tcPr>
            <w:tcW w:w="2023" w:type="dxa"/>
            <w:vAlign w:val="center"/>
          </w:tcPr>
          <w:p w14:paraId="0E867892"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01674FA5" w14:textId="77777777">
        <w:trPr>
          <w:trHeight w:val="93"/>
          <w:jc w:val="center"/>
        </w:trPr>
        <w:tc>
          <w:tcPr>
            <w:tcW w:w="2130" w:type="dxa"/>
            <w:vAlign w:val="center"/>
          </w:tcPr>
          <w:p w14:paraId="4E89D8F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第十四章</w:t>
            </w:r>
          </w:p>
        </w:tc>
        <w:tc>
          <w:tcPr>
            <w:tcW w:w="3738" w:type="dxa"/>
            <w:vAlign w:val="center"/>
          </w:tcPr>
          <w:p w14:paraId="1956335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针灸调护</w:t>
            </w:r>
          </w:p>
        </w:tc>
        <w:tc>
          <w:tcPr>
            <w:tcW w:w="900" w:type="dxa"/>
            <w:vAlign w:val="center"/>
          </w:tcPr>
          <w:p w14:paraId="1AFD14E9"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w:t>
            </w:r>
          </w:p>
        </w:tc>
        <w:tc>
          <w:tcPr>
            <w:tcW w:w="2023" w:type="dxa"/>
            <w:vAlign w:val="center"/>
          </w:tcPr>
          <w:p w14:paraId="7A17E2D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讲授</w:t>
            </w:r>
            <w:r>
              <w:rPr>
                <w:rFonts w:ascii="仿宋_GB2312" w:eastAsia="仿宋_GB2312" w:hAnsi="仿宋_GB2312" w:cs="仿宋_GB2312"/>
                <w:color w:val="000000"/>
                <w:szCs w:val="21"/>
              </w:rPr>
              <w:t>(</w:t>
            </w:r>
            <w:r>
              <w:rPr>
                <w:rFonts w:ascii="仿宋_GB2312" w:eastAsia="仿宋_GB2312" w:hAnsi="仿宋_GB2312" w:cs="仿宋_GB2312" w:hint="eastAsia"/>
                <w:color w:val="000000"/>
                <w:szCs w:val="21"/>
              </w:rPr>
              <w:t>多媒体</w:t>
            </w:r>
            <w:r>
              <w:rPr>
                <w:rFonts w:ascii="仿宋_GB2312" w:eastAsia="仿宋_GB2312" w:hAnsi="仿宋_GB2312" w:cs="仿宋_GB2312"/>
                <w:color w:val="000000"/>
                <w:szCs w:val="21"/>
              </w:rPr>
              <w:t>)</w:t>
            </w:r>
          </w:p>
        </w:tc>
      </w:tr>
      <w:tr w:rsidR="00000000" w14:paraId="532781FB" w14:textId="77777777">
        <w:trPr>
          <w:jc w:val="center"/>
        </w:trPr>
        <w:tc>
          <w:tcPr>
            <w:tcW w:w="2130" w:type="dxa"/>
            <w:vAlign w:val="center"/>
          </w:tcPr>
          <w:p w14:paraId="73671D1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合计</w:t>
            </w:r>
          </w:p>
        </w:tc>
        <w:tc>
          <w:tcPr>
            <w:tcW w:w="3738" w:type="dxa"/>
            <w:vAlign w:val="center"/>
          </w:tcPr>
          <w:p w14:paraId="55D5003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c>
          <w:tcPr>
            <w:tcW w:w="900" w:type="dxa"/>
            <w:vAlign w:val="center"/>
          </w:tcPr>
          <w:p w14:paraId="6776D83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40</w:t>
            </w:r>
          </w:p>
        </w:tc>
        <w:tc>
          <w:tcPr>
            <w:tcW w:w="2023" w:type="dxa"/>
            <w:vAlign w:val="center"/>
          </w:tcPr>
          <w:p w14:paraId="555258D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p>
        </w:tc>
      </w:tr>
    </w:tbl>
    <w:p w14:paraId="2DB24B68" w14:textId="77777777" w:rsidR="00000000" w:rsidRDefault="00000000">
      <w:pPr>
        <w:adjustRightInd w:val="0"/>
        <w:snapToGrid w:val="0"/>
        <w:spacing w:line="460" w:lineRule="atLeast"/>
        <w:rPr>
          <w:rFonts w:ascii="仿宋_GB2312" w:eastAsia="仿宋_GB2312"/>
          <w:sz w:val="28"/>
          <w:szCs w:val="28"/>
        </w:rPr>
      </w:pPr>
    </w:p>
    <w:p w14:paraId="2C03AABA" w14:textId="77777777" w:rsidR="00000000" w:rsidRDefault="00000000">
      <w:pPr>
        <w:spacing w:line="460" w:lineRule="atLeast"/>
        <w:jc w:val="center"/>
        <w:rPr>
          <w:rFonts w:ascii="仿宋_GB2312" w:eastAsia="仿宋_GB2312" w:hAnsi="仿宋"/>
          <w:b/>
          <w:bCs/>
          <w:sz w:val="44"/>
          <w:szCs w:val="44"/>
        </w:rPr>
      </w:pPr>
    </w:p>
    <w:p w14:paraId="23B96229" w14:textId="77777777" w:rsidR="00000000" w:rsidRDefault="00000000">
      <w:pPr>
        <w:spacing w:line="460" w:lineRule="atLeast"/>
        <w:jc w:val="center"/>
        <w:outlineLvl w:val="1"/>
        <w:rPr>
          <w:rFonts w:ascii="仿宋_GB2312" w:eastAsia="仿宋_GB2312" w:hAnsi="仿宋"/>
          <w:b/>
          <w:bCs/>
          <w:sz w:val="44"/>
          <w:szCs w:val="44"/>
        </w:rPr>
      </w:pPr>
      <w:bookmarkStart w:id="33" w:name="_Toc18373"/>
      <w:bookmarkStart w:id="34" w:name="_Toc15872"/>
      <w:bookmarkStart w:id="35" w:name="_Toc16446"/>
      <w:r>
        <w:rPr>
          <w:rFonts w:ascii="仿宋_GB2312" w:eastAsia="仿宋_GB2312" w:hAnsi="仿宋" w:hint="eastAsia"/>
          <w:b/>
          <w:bCs/>
          <w:sz w:val="44"/>
          <w:szCs w:val="44"/>
        </w:rPr>
        <w:lastRenderedPageBreak/>
        <w:t>《基础护理学》课程标准</w:t>
      </w:r>
      <w:bookmarkEnd w:id="33"/>
      <w:bookmarkEnd w:id="34"/>
      <w:bookmarkEnd w:id="35"/>
    </w:p>
    <w:p w14:paraId="19F78867"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一、前言</w:t>
      </w:r>
    </w:p>
    <w:p w14:paraId="48389229" w14:textId="77777777" w:rsidR="00000000" w:rsidRDefault="00000000">
      <w:pPr>
        <w:pStyle w:val="2"/>
        <w:spacing w:beforeLines="100" w:before="312" w:afterLines="100" w:after="312" w:line="460" w:lineRule="atLeast"/>
        <w:rPr>
          <w:rFonts w:ascii="黑体" w:hAnsi="黑体" w:hint="eastAsia"/>
          <w:sz w:val="28"/>
          <w:szCs w:val="28"/>
        </w:rPr>
      </w:pPr>
      <w:r>
        <w:rPr>
          <w:rFonts w:ascii="黑体" w:hAnsi="黑体" w:hint="eastAsia"/>
          <w:sz w:val="28"/>
          <w:szCs w:val="28"/>
        </w:rPr>
        <w:t>（一）课程性质</w:t>
      </w:r>
    </w:p>
    <w:p w14:paraId="3D4C1852" w14:textId="77777777" w:rsidR="00000000" w:rsidRDefault="00000000">
      <w:pPr>
        <w:spacing w:line="460" w:lineRule="atLeast"/>
        <w:rPr>
          <w:rFonts w:hint="eastAsia"/>
        </w:rPr>
      </w:pPr>
      <w:r>
        <w:rPr>
          <w:rFonts w:ascii="仿宋_GB2312" w:eastAsia="仿宋_GB2312" w:hint="eastAsia"/>
          <w:spacing w:val="-2"/>
          <w:sz w:val="28"/>
          <w:szCs w:val="28"/>
        </w:rPr>
        <w:t>《基础护理学》是老年人服务与管理体系中一门重要的核心课程，是各护理的基础，通过本课程的学习，使其具备一定的基本操作的技能，培养职业素养和职业能力，为学生日后的学习做好基本理论、基本知识和基本技术能力的储备，为以后的工作奠定好良好的基础</w:t>
      </w:r>
    </w:p>
    <w:p w14:paraId="2B4DCB12"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（二）设计思路</w:t>
      </w:r>
    </w:p>
    <w:p w14:paraId="62743DBD"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结合专业人才培养目标、围绕老年人服务工作岗位需要，以质量为宗旨，以现在护理观为指导，重视对学生动手能力、职业能力的培养和职业素质的养成，满足学生职业生涯发展的需要。课程内容以病人从入院到出院的护理需求为主线，将教学内容顺序化为“入院护理、安全环境、维持健康、促进健康、出院护理“五大模块，十六个护理项目和四十一个工作任务。本着知识、能力、素质并重的原则，按照工作过程安排教学过程，突出岗位目标，突出对学生能力的培养和综合素质的提高，采用”教、学、做“一体化的教学模式，实现对工作过程的认识和对工作任务的体验而形成职业能力，从知识、技能、态度等方面达到教学目的，满足护理工作中对各阶段病人的护理需求</w:t>
      </w:r>
    </w:p>
    <w:p w14:paraId="20717173"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二、课程目标</w:t>
      </w:r>
    </w:p>
    <w:p w14:paraId="3B1A10EF"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lastRenderedPageBreak/>
        <w:t>（一）知识目标</w:t>
      </w:r>
    </w:p>
    <w:p w14:paraId="72087797"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．掌握基础护理技术的基本知识、基本理论、并能联系实际</w:t>
      </w:r>
    </w:p>
    <w:p w14:paraId="49E0C2BB"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．熟悉常用护理技术的应用范围、操作原理</w:t>
      </w:r>
    </w:p>
    <w:p w14:paraId="4E9B68E8"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．了解操作过程中可能出现的反应、及处理方法</w:t>
      </w:r>
    </w:p>
    <w:p w14:paraId="3B14787A"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（二）能力目标</w:t>
      </w:r>
    </w:p>
    <w:p w14:paraId="1B5EC540"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．能规范地进行各项基础护理技术操作</w:t>
      </w:r>
    </w:p>
    <w:p w14:paraId="1DC1F56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2</w:t>
      </w:r>
      <w:r>
        <w:rPr>
          <w:rFonts w:ascii="仿宋_GB2312" w:eastAsia="仿宋_GB2312" w:hint="eastAsia"/>
          <w:sz w:val="28"/>
          <w:szCs w:val="28"/>
        </w:rPr>
        <w:t>．能按护理程序为护理对象提供整体护理，满足护理对象生理、心理和治疗需求</w:t>
      </w:r>
    </w:p>
    <w:p w14:paraId="34F133E2" w14:textId="77777777" w:rsidR="00000000" w:rsidRDefault="00000000">
      <w:pPr>
        <w:pStyle w:val="2"/>
        <w:spacing w:beforeLines="100" w:before="312" w:afterLines="100" w:after="312" w:line="460" w:lineRule="atLeast"/>
        <w:rPr>
          <w:rFonts w:ascii="黑体"/>
          <w:sz w:val="28"/>
          <w:szCs w:val="28"/>
        </w:rPr>
      </w:pPr>
      <w:r>
        <w:rPr>
          <w:rFonts w:ascii="黑体" w:hAnsi="黑体" w:hint="eastAsia"/>
          <w:sz w:val="28"/>
          <w:szCs w:val="28"/>
        </w:rPr>
        <w:t>（三）素质目标</w:t>
      </w:r>
    </w:p>
    <w:p w14:paraId="2460446A"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．热爱老年人服务专业，养成良好的职业素质和行为习惯，具有高度的责任感、同情心和团结协作精神</w:t>
      </w:r>
    </w:p>
    <w:p w14:paraId="1C2D4BC9" w14:textId="77777777" w:rsidR="00000000" w:rsidRDefault="00000000">
      <w:pPr>
        <w:spacing w:line="460" w:lineRule="atLeast"/>
        <w:ind w:firstLine="48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．养成善于动脑，勤于思考，及时发现问题的学习习惯。</w:t>
      </w:r>
    </w:p>
    <w:p w14:paraId="10C1171E" w14:textId="77777777" w:rsidR="00000000" w:rsidRDefault="00000000">
      <w:pPr>
        <w:spacing w:line="460" w:lineRule="atLeast"/>
        <w:ind w:firstLine="480"/>
        <w:rPr>
          <w:rFonts w:ascii="仿宋_GB2312" w:eastAsia="仿宋_GB2312" w:hint="eastAsia"/>
          <w:sz w:val="28"/>
          <w:szCs w:val="28"/>
        </w:rPr>
      </w:pPr>
      <w:r>
        <w:rPr>
          <w:rFonts w:ascii="仿宋_GB2312" w:eastAsia="仿宋_GB2312"/>
          <w:sz w:val="28"/>
          <w:szCs w:val="28"/>
        </w:rPr>
        <w:t>3</w:t>
      </w:r>
      <w:r>
        <w:rPr>
          <w:rFonts w:ascii="仿宋_GB2312" w:eastAsia="仿宋_GB2312" w:hint="eastAsia"/>
          <w:sz w:val="28"/>
          <w:szCs w:val="28"/>
        </w:rPr>
        <w:t>．养成生产操作规范意识和食品质量安全意识，形成严谨求实的工作态度</w:t>
      </w:r>
    </w:p>
    <w:p w14:paraId="5AA09D1C" w14:textId="77777777" w:rsidR="00000000" w:rsidRDefault="00000000">
      <w:pPr>
        <w:spacing w:line="460" w:lineRule="atLeast"/>
        <w:ind w:firstLine="480"/>
        <w:rPr>
          <w:rFonts w:ascii="仿宋_GB2312" w:eastAsia="仿宋_GB2312" w:hint="eastAsia"/>
          <w:sz w:val="28"/>
          <w:szCs w:val="28"/>
        </w:rPr>
      </w:pPr>
      <w:r>
        <w:rPr>
          <w:rFonts w:ascii="仿宋_GB2312" w:eastAsia="仿宋_GB2312" w:hint="eastAsia"/>
          <w:sz w:val="28"/>
          <w:szCs w:val="28"/>
        </w:rPr>
        <w:t>4.具有团队意识，能进行良好的团队合作</w:t>
      </w:r>
    </w:p>
    <w:p w14:paraId="5EB81263"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5.养成爱护设备和检测仪器的良好习惯。</w:t>
      </w:r>
    </w:p>
    <w:p w14:paraId="56A64A49" w14:textId="77777777" w:rsidR="00000000" w:rsidRDefault="00000000">
      <w:pPr>
        <w:spacing w:beforeLines="100" w:before="312" w:afterLines="100" w:after="312" w:line="460" w:lineRule="atLeast"/>
        <w:outlineLvl w:val="0"/>
        <w:rPr>
          <w:rFonts w:ascii="黑体" w:eastAsia="黑体"/>
          <w:b/>
          <w:color w:val="000000"/>
          <w:sz w:val="32"/>
          <w:szCs w:val="21"/>
        </w:rPr>
      </w:pPr>
      <w:r>
        <w:rPr>
          <w:rFonts w:ascii="黑体" w:eastAsia="黑体" w:hint="eastAsia"/>
          <w:b/>
          <w:color w:val="000000"/>
          <w:sz w:val="32"/>
          <w:szCs w:val="21"/>
        </w:rPr>
        <w:t>三、课程内容和要求</w:t>
      </w:r>
    </w:p>
    <w:p w14:paraId="447CC90E" w14:textId="77777777" w:rsidR="00000000" w:rsidRDefault="00000000">
      <w:pPr>
        <w:spacing w:line="460" w:lineRule="atLeast"/>
        <w:ind w:firstLine="480"/>
        <w:rPr>
          <w:rFonts w:ascii="仿宋_GB2312" w:eastAsia="仿宋_GB2312"/>
          <w:sz w:val="28"/>
          <w:szCs w:val="28"/>
        </w:rPr>
      </w:pPr>
      <w:r>
        <w:rPr>
          <w:rFonts w:ascii="仿宋_GB2312" w:eastAsia="仿宋_GB2312" w:hint="eastAsia"/>
          <w:sz w:val="28"/>
          <w:szCs w:val="28"/>
        </w:rPr>
        <w:t>该门课程总学</w:t>
      </w:r>
      <w:r>
        <w:rPr>
          <w:rFonts w:ascii="仿宋_GB2312" w:eastAsia="仿宋_GB2312"/>
          <w:sz w:val="28"/>
          <w:szCs w:val="28"/>
        </w:rPr>
        <w:t>108</w:t>
      </w:r>
      <w:r>
        <w:rPr>
          <w:rFonts w:ascii="仿宋_GB2312" w:eastAsia="仿宋_GB2312" w:hint="eastAsia"/>
          <w:sz w:val="28"/>
          <w:szCs w:val="28"/>
        </w:rPr>
        <w:t>学时。</w:t>
      </w:r>
    </w:p>
    <w:tbl>
      <w:tblPr>
        <w:tblW w:w="0" w:type="auto"/>
        <w:jc w:val="center"/>
        <w:tblInd w:w="0" w:type="dxa"/>
        <w:tblLayout w:type="fixed"/>
        <w:tblLook w:val="0000" w:firstRow="0" w:lastRow="0" w:firstColumn="0" w:lastColumn="0" w:noHBand="0" w:noVBand="0"/>
      </w:tblPr>
      <w:tblGrid>
        <w:gridCol w:w="516"/>
        <w:gridCol w:w="1413"/>
        <w:gridCol w:w="4330"/>
        <w:gridCol w:w="2078"/>
        <w:gridCol w:w="826"/>
      </w:tblGrid>
      <w:tr w:rsidR="00000000" w14:paraId="588933A2" w14:textId="77777777">
        <w:trPr>
          <w:trHeight w:val="237"/>
          <w:jc w:val="center"/>
        </w:trPr>
        <w:tc>
          <w:tcPr>
            <w:tcW w:w="516" w:type="dxa"/>
            <w:tcBorders>
              <w:top w:val="single" w:sz="6" w:space="0" w:color="auto"/>
              <w:left w:val="single" w:sz="6" w:space="0" w:color="auto"/>
              <w:bottom w:val="single" w:sz="4" w:space="0" w:color="auto"/>
              <w:right w:val="single" w:sz="6" w:space="0" w:color="auto"/>
            </w:tcBorders>
            <w:shd w:val="clear" w:color="auto" w:fill="auto"/>
            <w:vAlign w:val="center"/>
          </w:tcPr>
          <w:p w14:paraId="023A0591"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序</w:t>
            </w:r>
            <w:r>
              <w:rPr>
                <w:rFonts w:ascii="仿宋" w:eastAsia="仿宋" w:hAnsi="仿宋" w:hint="eastAsia"/>
                <w:b/>
                <w:color w:val="000000"/>
                <w:sz w:val="24"/>
              </w:rPr>
              <w:lastRenderedPageBreak/>
              <w:t>号</w:t>
            </w:r>
          </w:p>
        </w:tc>
        <w:tc>
          <w:tcPr>
            <w:tcW w:w="1413" w:type="dxa"/>
            <w:tcBorders>
              <w:top w:val="single" w:sz="6" w:space="0" w:color="auto"/>
              <w:left w:val="single" w:sz="6" w:space="0" w:color="auto"/>
              <w:bottom w:val="single" w:sz="4" w:space="0" w:color="auto"/>
              <w:right w:val="single" w:sz="6" w:space="0" w:color="auto"/>
            </w:tcBorders>
            <w:shd w:val="clear" w:color="auto" w:fill="FFFFFF"/>
            <w:vAlign w:val="center"/>
          </w:tcPr>
          <w:p w14:paraId="06F4393C"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lastRenderedPageBreak/>
              <w:t>工作任务</w:t>
            </w:r>
          </w:p>
        </w:tc>
        <w:tc>
          <w:tcPr>
            <w:tcW w:w="4330" w:type="dxa"/>
            <w:tcBorders>
              <w:top w:val="single" w:sz="6" w:space="0" w:color="auto"/>
              <w:left w:val="single" w:sz="6" w:space="0" w:color="auto"/>
              <w:bottom w:val="single" w:sz="4" w:space="0" w:color="auto"/>
              <w:right w:val="single" w:sz="6" w:space="0" w:color="auto"/>
            </w:tcBorders>
            <w:shd w:val="clear" w:color="auto" w:fill="FFFFFF"/>
            <w:vAlign w:val="center"/>
          </w:tcPr>
          <w:p w14:paraId="6244770F"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课程内容与教学要求</w:t>
            </w:r>
          </w:p>
        </w:tc>
        <w:tc>
          <w:tcPr>
            <w:tcW w:w="2078" w:type="dxa"/>
            <w:tcBorders>
              <w:top w:val="single" w:sz="6" w:space="0" w:color="auto"/>
              <w:left w:val="single" w:sz="6" w:space="0" w:color="auto"/>
              <w:bottom w:val="single" w:sz="4" w:space="0" w:color="auto"/>
              <w:right w:val="single" w:sz="6" w:space="0" w:color="auto"/>
            </w:tcBorders>
            <w:shd w:val="clear" w:color="auto" w:fill="FFFFFF"/>
            <w:vAlign w:val="center"/>
          </w:tcPr>
          <w:p w14:paraId="77985720"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教学方法建议</w:t>
            </w:r>
          </w:p>
        </w:tc>
        <w:tc>
          <w:tcPr>
            <w:tcW w:w="826" w:type="dxa"/>
            <w:tcBorders>
              <w:top w:val="single" w:sz="6" w:space="0" w:color="auto"/>
              <w:left w:val="single" w:sz="6" w:space="0" w:color="auto"/>
              <w:bottom w:val="single" w:sz="4" w:space="0" w:color="auto"/>
              <w:right w:val="single" w:sz="6" w:space="0" w:color="auto"/>
            </w:tcBorders>
            <w:shd w:val="clear" w:color="auto" w:fill="FFFFFF"/>
            <w:vAlign w:val="center"/>
          </w:tcPr>
          <w:p w14:paraId="2A534BA1" w14:textId="77777777" w:rsidR="00000000" w:rsidRDefault="00000000">
            <w:pPr>
              <w:autoSpaceDE w:val="0"/>
              <w:autoSpaceDN w:val="0"/>
              <w:adjustRightInd w:val="0"/>
              <w:spacing w:line="460" w:lineRule="atLeast"/>
              <w:jc w:val="center"/>
              <w:rPr>
                <w:rFonts w:ascii="仿宋" w:eastAsia="仿宋" w:hAnsi="仿宋"/>
                <w:b/>
                <w:color w:val="000000"/>
                <w:sz w:val="24"/>
              </w:rPr>
            </w:pPr>
            <w:r>
              <w:rPr>
                <w:rFonts w:ascii="仿宋" w:eastAsia="仿宋" w:hAnsi="仿宋" w:hint="eastAsia"/>
                <w:b/>
                <w:color w:val="000000"/>
                <w:sz w:val="24"/>
              </w:rPr>
              <w:t>参考</w:t>
            </w:r>
            <w:r>
              <w:rPr>
                <w:rFonts w:ascii="仿宋" w:eastAsia="仿宋" w:hAnsi="仿宋" w:hint="eastAsia"/>
                <w:b/>
                <w:color w:val="000000"/>
                <w:sz w:val="24"/>
              </w:rPr>
              <w:lastRenderedPageBreak/>
              <w:t>课时</w:t>
            </w:r>
          </w:p>
        </w:tc>
      </w:tr>
      <w:tr w:rsidR="00000000" w14:paraId="12BD8331" w14:textId="77777777">
        <w:trPr>
          <w:trHeight w:val="723"/>
          <w:jc w:val="center"/>
        </w:trPr>
        <w:tc>
          <w:tcPr>
            <w:tcW w:w="516" w:type="dxa"/>
            <w:tcBorders>
              <w:top w:val="single" w:sz="4" w:space="0" w:color="auto"/>
              <w:left w:val="single" w:sz="6" w:space="0" w:color="auto"/>
              <w:bottom w:val="single" w:sz="4" w:space="0" w:color="auto"/>
              <w:right w:val="single" w:sz="6" w:space="0" w:color="auto"/>
            </w:tcBorders>
          </w:tcPr>
          <w:p w14:paraId="228EA705"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55AA2423"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7B392AD4"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5B2CF83B"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p>
          <w:p w14:paraId="673BDAF4"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1</w:t>
            </w:r>
          </w:p>
        </w:tc>
        <w:tc>
          <w:tcPr>
            <w:tcW w:w="1413" w:type="dxa"/>
            <w:tcBorders>
              <w:top w:val="single" w:sz="4" w:space="0" w:color="auto"/>
              <w:left w:val="single" w:sz="6" w:space="0" w:color="auto"/>
              <w:bottom w:val="single" w:sz="4" w:space="0" w:color="auto"/>
              <w:right w:val="single" w:sz="6" w:space="0" w:color="auto"/>
            </w:tcBorders>
          </w:tcPr>
          <w:p w14:paraId="7E4BB594" w14:textId="77777777" w:rsidR="00000000" w:rsidRDefault="00000000">
            <w:pPr>
              <w:spacing w:line="460" w:lineRule="atLeast"/>
              <w:rPr>
                <w:rFonts w:ascii="仿宋_GB2312" w:eastAsia="仿宋_GB2312" w:hAnsi="仿宋_GB2312" w:cs="仿宋_GB2312"/>
                <w:color w:val="000000"/>
                <w:szCs w:val="21"/>
              </w:rPr>
            </w:pPr>
          </w:p>
          <w:p w14:paraId="3981E108" w14:textId="77777777" w:rsidR="00000000" w:rsidRDefault="00000000">
            <w:pPr>
              <w:spacing w:line="460" w:lineRule="atLeast"/>
              <w:rPr>
                <w:rFonts w:ascii="仿宋_GB2312" w:eastAsia="仿宋_GB2312" w:hAnsi="仿宋_GB2312" w:cs="仿宋_GB2312"/>
                <w:color w:val="000000"/>
                <w:szCs w:val="21"/>
              </w:rPr>
            </w:pPr>
          </w:p>
          <w:p w14:paraId="46A2C9E5" w14:textId="77777777" w:rsidR="00000000" w:rsidRDefault="00000000">
            <w:pPr>
              <w:spacing w:line="460" w:lineRule="atLeast"/>
              <w:rPr>
                <w:rFonts w:ascii="仿宋_GB2312" w:eastAsia="仿宋_GB2312" w:hAnsi="仿宋_GB2312" w:cs="仿宋_GB2312"/>
                <w:color w:val="000000"/>
                <w:szCs w:val="21"/>
              </w:rPr>
            </w:pPr>
          </w:p>
          <w:p w14:paraId="6E2835CC" w14:textId="77777777" w:rsidR="00000000" w:rsidRDefault="00000000">
            <w:pPr>
              <w:spacing w:line="460" w:lineRule="atLeast"/>
              <w:rPr>
                <w:rFonts w:ascii="仿宋_GB2312" w:eastAsia="仿宋_GB2312" w:hAnsi="仿宋_GB2312" w:cs="仿宋_GB2312"/>
                <w:color w:val="000000"/>
                <w:szCs w:val="21"/>
              </w:rPr>
            </w:pPr>
          </w:p>
          <w:p w14:paraId="17A4CA9F" w14:textId="77777777" w:rsidR="00000000" w:rsidRDefault="00000000">
            <w:pPr>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医院与住院环境</w:t>
            </w:r>
          </w:p>
        </w:tc>
        <w:tc>
          <w:tcPr>
            <w:tcW w:w="4330" w:type="dxa"/>
            <w:tcBorders>
              <w:top w:val="single" w:sz="4" w:space="0" w:color="auto"/>
              <w:left w:val="single" w:sz="6" w:space="0" w:color="auto"/>
              <w:bottom w:val="single" w:sz="4" w:space="0" w:color="auto"/>
              <w:right w:val="single" w:sz="6" w:space="0" w:color="auto"/>
            </w:tcBorders>
          </w:tcPr>
          <w:p w14:paraId="27FE04D0"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570B6B3D"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·掌握：①医院门诊、急诊的护理工作②病区的环境管理③各种铺床法。</w:t>
            </w:r>
          </w:p>
          <w:p w14:paraId="6C1DEE88"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熟悉 ：①医院的任务②各种铺床法的目的和要求③病区环境</w:t>
            </w:r>
          </w:p>
          <w:p w14:paraId="5354BC69"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·了解：①医院的概念、性质、分类与分级②医院的组织结构③门诊、急诊科、病区的设置与布局</w:t>
            </w:r>
          </w:p>
          <w:p w14:paraId="74CCDC49"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教学要求：</w:t>
            </w:r>
          </w:p>
          <w:p w14:paraId="722BDC0B"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能够通过液体试管稀释法分离纯化微生物；</w:t>
            </w:r>
          </w:p>
          <w:p w14:paraId="17A5983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能规范熟练的进行无菌操作；</w:t>
            </w:r>
          </w:p>
          <w:p w14:paraId="46CC75EE"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w:t>
            </w:r>
            <w:r>
              <w:rPr>
                <w:rFonts w:ascii="仿宋_GB2312" w:eastAsia="仿宋_GB2312" w:hAnsi="仿宋_GB2312" w:cs="仿宋_GB2312" w:hint="eastAsia"/>
                <w:color w:val="000000"/>
                <w:szCs w:val="21"/>
              </w:rPr>
              <w:t>会规范娴熟的对微生物进行平板划线分离，能进行生理生化鉴定。</w:t>
            </w:r>
          </w:p>
        </w:tc>
        <w:tc>
          <w:tcPr>
            <w:tcW w:w="2078" w:type="dxa"/>
            <w:tcBorders>
              <w:top w:val="single" w:sz="4" w:space="0" w:color="auto"/>
              <w:left w:val="single" w:sz="6" w:space="0" w:color="auto"/>
              <w:bottom w:val="single" w:sz="4" w:space="0" w:color="auto"/>
              <w:right w:val="single" w:sz="6" w:space="0" w:color="auto"/>
            </w:tcBorders>
            <w:vAlign w:val="center"/>
          </w:tcPr>
          <w:p w14:paraId="2CD4F50B"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0C968B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49C2CD0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·图表展示</w:t>
            </w:r>
          </w:p>
          <w:p w14:paraId="5141821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592919F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·示范操作、训练及指导</w:t>
            </w:r>
          </w:p>
          <w:p w14:paraId="18D57ECF"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p w14:paraId="516E848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6" w:space="0" w:color="auto"/>
              <w:bottom w:val="single" w:sz="4" w:space="0" w:color="auto"/>
              <w:right w:val="single" w:sz="6" w:space="0" w:color="auto"/>
            </w:tcBorders>
          </w:tcPr>
          <w:p w14:paraId="17DEBA6F"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6A2FF2D"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6244CCB"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9A2F3B7"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B6CA9DD"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18（理论4节，实训课14节）</w:t>
            </w:r>
          </w:p>
        </w:tc>
      </w:tr>
      <w:tr w:rsidR="00000000" w14:paraId="798064D5" w14:textId="77777777">
        <w:trPr>
          <w:trHeight w:val="3725"/>
          <w:jc w:val="center"/>
        </w:trPr>
        <w:tc>
          <w:tcPr>
            <w:tcW w:w="516" w:type="dxa"/>
            <w:tcBorders>
              <w:top w:val="single" w:sz="4" w:space="0" w:color="auto"/>
              <w:left w:val="single" w:sz="6" w:space="0" w:color="auto"/>
              <w:bottom w:val="single" w:sz="4" w:space="0" w:color="auto"/>
              <w:right w:val="single" w:sz="6" w:space="0" w:color="auto"/>
            </w:tcBorders>
            <w:vAlign w:val="center"/>
          </w:tcPr>
          <w:p w14:paraId="0B5EA4AE"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c>
          <w:tcPr>
            <w:tcW w:w="1413" w:type="dxa"/>
            <w:tcBorders>
              <w:top w:val="single" w:sz="4" w:space="0" w:color="auto"/>
              <w:left w:val="single" w:sz="6" w:space="0" w:color="auto"/>
              <w:bottom w:val="single" w:sz="4" w:space="0" w:color="auto"/>
              <w:right w:val="single" w:sz="6" w:space="0" w:color="auto"/>
            </w:tcBorders>
            <w:vAlign w:val="center"/>
          </w:tcPr>
          <w:p w14:paraId="48E04B53" w14:textId="77777777" w:rsidR="00000000" w:rsidRDefault="00000000">
            <w:pPr>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入院病人的护理</w:t>
            </w:r>
          </w:p>
        </w:tc>
        <w:tc>
          <w:tcPr>
            <w:tcW w:w="4330" w:type="dxa"/>
            <w:tcBorders>
              <w:top w:val="single" w:sz="4" w:space="0" w:color="auto"/>
              <w:left w:val="single" w:sz="6" w:space="0" w:color="auto"/>
              <w:bottom w:val="single" w:sz="4" w:space="0" w:color="auto"/>
              <w:right w:val="single" w:sz="6" w:space="0" w:color="auto"/>
            </w:tcBorders>
            <w:vAlign w:val="center"/>
          </w:tcPr>
          <w:p w14:paraId="5FB69E1F"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7BDCE579"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·掌握：①入病区后的初步护理②分级护理使用对象和护理内容③平车运送技术</w:t>
            </w:r>
          </w:p>
          <w:p w14:paraId="645C4778"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·熟悉：①入院程序②急诊入院护理③轮椅运送技术</w:t>
            </w:r>
          </w:p>
          <w:p w14:paraId="432EB1D1"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·了解：①人体力学的应用原理②心室“铲式担架”</w:t>
            </w:r>
          </w:p>
          <w:p w14:paraId="716875FD"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p>
        </w:tc>
        <w:tc>
          <w:tcPr>
            <w:tcW w:w="2078" w:type="dxa"/>
            <w:tcBorders>
              <w:top w:val="single" w:sz="4" w:space="0" w:color="auto"/>
              <w:left w:val="single" w:sz="6" w:space="0" w:color="auto"/>
              <w:bottom w:val="single" w:sz="4" w:space="0" w:color="auto"/>
              <w:right w:val="single" w:sz="6" w:space="0" w:color="auto"/>
            </w:tcBorders>
            <w:vAlign w:val="center"/>
          </w:tcPr>
          <w:p w14:paraId="4F836DA9"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·讲授，多媒体展示</w:t>
            </w:r>
          </w:p>
          <w:p w14:paraId="0012C4E4" w14:textId="77777777" w:rsidR="00000000" w:rsidRDefault="00000000">
            <w:pPr>
              <w:autoSpaceDE w:val="0"/>
              <w:autoSpaceDN w:val="0"/>
              <w:spacing w:line="460" w:lineRule="atLeast"/>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·观看视频</w:t>
            </w:r>
          </w:p>
          <w:p w14:paraId="6B17FFCB"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tc>
        <w:tc>
          <w:tcPr>
            <w:tcW w:w="826" w:type="dxa"/>
            <w:tcBorders>
              <w:top w:val="single" w:sz="4" w:space="0" w:color="auto"/>
              <w:left w:val="single" w:sz="6" w:space="0" w:color="auto"/>
              <w:bottom w:val="single" w:sz="4" w:space="0" w:color="auto"/>
              <w:right w:val="single" w:sz="6" w:space="0" w:color="auto"/>
            </w:tcBorders>
            <w:vAlign w:val="center"/>
          </w:tcPr>
          <w:p w14:paraId="12BD0BF5"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4（理论2节，实训2节）</w:t>
            </w:r>
          </w:p>
        </w:tc>
      </w:tr>
      <w:tr w:rsidR="00000000" w14:paraId="1B2703FA" w14:textId="77777777">
        <w:trPr>
          <w:trHeight w:val="550"/>
          <w:jc w:val="center"/>
        </w:trPr>
        <w:tc>
          <w:tcPr>
            <w:tcW w:w="516" w:type="dxa"/>
            <w:tcBorders>
              <w:top w:val="single" w:sz="4" w:space="0" w:color="auto"/>
              <w:left w:val="single" w:sz="6" w:space="0" w:color="auto"/>
              <w:bottom w:val="single" w:sz="4" w:space="0" w:color="auto"/>
              <w:right w:val="single" w:sz="6" w:space="0" w:color="auto"/>
            </w:tcBorders>
            <w:vAlign w:val="center"/>
          </w:tcPr>
          <w:p w14:paraId="4DA92D60"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3</w:t>
            </w:r>
          </w:p>
        </w:tc>
        <w:tc>
          <w:tcPr>
            <w:tcW w:w="1413" w:type="dxa"/>
            <w:tcBorders>
              <w:top w:val="single" w:sz="4" w:space="0" w:color="auto"/>
              <w:left w:val="single" w:sz="6" w:space="0" w:color="auto"/>
              <w:bottom w:val="single" w:sz="4" w:space="0" w:color="auto"/>
              <w:right w:val="single" w:sz="6" w:space="0" w:color="auto"/>
            </w:tcBorders>
            <w:vAlign w:val="center"/>
          </w:tcPr>
          <w:p w14:paraId="6E3E883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医院感染的预防与控制</w:t>
            </w:r>
          </w:p>
        </w:tc>
        <w:tc>
          <w:tcPr>
            <w:tcW w:w="4330" w:type="dxa"/>
            <w:tcBorders>
              <w:top w:val="single" w:sz="4" w:space="0" w:color="auto"/>
              <w:left w:val="single" w:sz="6" w:space="0" w:color="auto"/>
              <w:bottom w:val="single" w:sz="4" w:space="0" w:color="auto"/>
              <w:right w:val="single" w:sz="6" w:space="0" w:color="auto"/>
            </w:tcBorders>
            <w:vAlign w:val="center"/>
          </w:tcPr>
          <w:p w14:paraId="6FFCF66E" w14:textId="77777777" w:rsidR="00000000" w:rsidRDefault="00000000">
            <w:pPr>
              <w:tabs>
                <w:tab w:val="left" w:pos="780"/>
              </w:tabs>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课程内容：</w:t>
            </w:r>
          </w:p>
          <w:p w14:paraId="5686C063"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·掌握：①医院感染的主要因素及分类②清洁、消毒、灭菌的概念和消毒、灭菌的方法③无菌技术的概念、原则和基本操作法④隔离的概念、隔离区域的设置和划分，隔离消毒原则和隔离技术操作法</w:t>
            </w:r>
          </w:p>
          <w:p w14:paraId="0A8F7B7F"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·熟悉隔离的种类及措施</w:t>
            </w:r>
          </w:p>
          <w:p w14:paraId="3D816F55"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lastRenderedPageBreak/>
              <w:t>·了解 ：①医院感染的概念②医院日常清洁、消毒、灭菌工作③供应室的布局及大致工作流程④医疗废物的分类收集</w:t>
            </w:r>
          </w:p>
          <w:p w14:paraId="2998F290"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·规范进行六项无菌技术基本操作和七步洗手法</w:t>
            </w:r>
          </w:p>
          <w:p w14:paraId="6B9E3A41" w14:textId="77777777" w:rsidR="00000000" w:rsidRDefault="00000000">
            <w:pPr>
              <w:tabs>
                <w:tab w:val="left" w:pos="780"/>
              </w:tabs>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·操作中体现科学严谨、诚实慎独精神</w:t>
            </w:r>
          </w:p>
          <w:p w14:paraId="302DB571" w14:textId="77777777" w:rsidR="00000000" w:rsidRDefault="00000000">
            <w:pPr>
              <w:tabs>
                <w:tab w:val="left" w:pos="780"/>
              </w:tabs>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·能根据不同的隔离要求设置隔离单位</w:t>
            </w:r>
          </w:p>
          <w:p w14:paraId="6496843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7D5A4B53" w14:textId="77777777" w:rsidR="00000000" w:rsidRDefault="00000000">
            <w:pPr>
              <w:tabs>
                <w:tab w:val="left" w:pos="780"/>
              </w:tabs>
              <w:spacing w:line="460" w:lineRule="atLeast"/>
              <w:ind w:firstLineChars="200" w:firstLine="420"/>
              <w:rPr>
                <w:rFonts w:ascii="仿宋_GB2312" w:eastAsia="仿宋_GB2312" w:hAnsi="仿宋_GB2312" w:cs="仿宋_GB2312"/>
                <w:snapToGrid w:val="0"/>
                <w:color w:val="000000"/>
                <w:kern w:val="0"/>
                <w:szCs w:val="21"/>
              </w:rPr>
            </w:pPr>
          </w:p>
        </w:tc>
        <w:tc>
          <w:tcPr>
            <w:tcW w:w="2078" w:type="dxa"/>
            <w:tcBorders>
              <w:top w:val="single" w:sz="4" w:space="0" w:color="auto"/>
              <w:left w:val="single" w:sz="6" w:space="0" w:color="auto"/>
              <w:bottom w:val="single" w:sz="4" w:space="0" w:color="auto"/>
              <w:right w:val="single" w:sz="4" w:space="0" w:color="auto"/>
            </w:tcBorders>
          </w:tcPr>
          <w:p w14:paraId="0C08B534" w14:textId="77777777" w:rsidR="00000000" w:rsidRDefault="00000000">
            <w:pPr>
              <w:autoSpaceDE w:val="0"/>
              <w:autoSpaceDN w:val="0"/>
              <w:spacing w:line="460" w:lineRule="atLeast"/>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lastRenderedPageBreak/>
              <w:t>·讲授，多媒体展示</w:t>
            </w:r>
          </w:p>
          <w:p w14:paraId="451C3DB8"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·用云平台练习题库进行考核、评价</w:t>
            </w:r>
          </w:p>
          <w:p w14:paraId="67788DA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4" w:space="0" w:color="auto"/>
              <w:bottom w:val="single" w:sz="4" w:space="0" w:color="auto"/>
              <w:right w:val="single" w:sz="4" w:space="0" w:color="auto"/>
            </w:tcBorders>
            <w:vAlign w:val="center"/>
          </w:tcPr>
          <w:p w14:paraId="16DF9A16"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16（理论6节实训10节）</w:t>
            </w:r>
          </w:p>
        </w:tc>
      </w:tr>
      <w:tr w:rsidR="00000000" w14:paraId="3DCF7A9B" w14:textId="77777777">
        <w:trPr>
          <w:trHeight w:val="8692"/>
          <w:jc w:val="center"/>
        </w:trPr>
        <w:tc>
          <w:tcPr>
            <w:tcW w:w="516" w:type="dxa"/>
            <w:tcBorders>
              <w:top w:val="single" w:sz="4" w:space="0" w:color="auto"/>
              <w:left w:val="single" w:sz="6" w:space="0" w:color="auto"/>
              <w:bottom w:val="single" w:sz="4" w:space="0" w:color="auto"/>
              <w:right w:val="single" w:sz="6" w:space="0" w:color="auto"/>
            </w:tcBorders>
            <w:vAlign w:val="center"/>
          </w:tcPr>
          <w:p w14:paraId="42D05A52"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4</w:t>
            </w:r>
          </w:p>
        </w:tc>
        <w:tc>
          <w:tcPr>
            <w:tcW w:w="1413" w:type="dxa"/>
            <w:tcBorders>
              <w:top w:val="single" w:sz="4" w:space="0" w:color="auto"/>
              <w:left w:val="single" w:sz="6" w:space="0" w:color="auto"/>
              <w:bottom w:val="single" w:sz="4" w:space="0" w:color="auto"/>
              <w:right w:val="single" w:sz="6" w:space="0" w:color="auto"/>
            </w:tcBorders>
            <w:vAlign w:val="center"/>
          </w:tcPr>
          <w:p w14:paraId="4E25E71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舒适、卧位与安全</w:t>
            </w:r>
          </w:p>
        </w:tc>
        <w:tc>
          <w:tcPr>
            <w:tcW w:w="4330" w:type="dxa"/>
            <w:tcBorders>
              <w:top w:val="single" w:sz="4" w:space="0" w:color="auto"/>
              <w:left w:val="single" w:sz="6" w:space="0" w:color="auto"/>
              <w:bottom w:val="single" w:sz="4" w:space="0" w:color="auto"/>
              <w:right w:val="single" w:sz="6" w:space="0" w:color="auto"/>
            </w:tcBorders>
            <w:vAlign w:val="center"/>
          </w:tcPr>
          <w:p w14:paraId="1F1F150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067685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·掌握：①卧位的名称、姿势及适用范围②帮助病人更换及移动卧位的方法③痛疼额概念和疼痛病人的护理④保护病人安全的措施⑤各种保护局的使用方法</w:t>
            </w:r>
          </w:p>
          <w:p w14:paraId="0BF82EFE"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1熟悉：①卧位的性质②疼痛的原因和影响疼痛的因素③使用保护具的目的和高位人</w:t>
            </w:r>
          </w:p>
          <w:p w14:paraId="4B2F831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·了解：①舒适和不舒适的概念和导致不舒适的原因②疼痛的机制③止疼泵的应用④影响安全的因素能正确安置病人卧位</w:t>
            </w:r>
          </w:p>
          <w:p w14:paraId="78C5DC41"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·能正确对病人疼痛实施评价，对不同性质的疼痛进行有效护理</w:t>
            </w:r>
          </w:p>
          <w:p w14:paraId="599F98F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·会用药物、心理护理等方法缓解疼痛</w:t>
            </w:r>
          </w:p>
          <w:p w14:paraId="5ABBC5D8" w14:textId="77777777" w:rsidR="00000000" w:rsidRDefault="00000000">
            <w:pPr>
              <w:autoSpaceDE w:val="0"/>
              <w:autoSpaceDN w:val="0"/>
              <w:spacing w:line="460" w:lineRule="atLeast"/>
              <w:ind w:firstLineChars="200" w:firstLine="420"/>
              <w:rPr>
                <w:rFonts w:ascii="仿宋_GB2312" w:eastAsia="仿宋_GB2312" w:hAnsi="仿宋_GB2312" w:cs="仿宋_GB2312"/>
                <w:snapToGrid w:val="0"/>
                <w:color w:val="000000"/>
                <w:kern w:val="0"/>
                <w:szCs w:val="21"/>
              </w:rPr>
            </w:pPr>
          </w:p>
        </w:tc>
        <w:tc>
          <w:tcPr>
            <w:tcW w:w="2078" w:type="dxa"/>
            <w:tcBorders>
              <w:top w:val="single" w:sz="4" w:space="0" w:color="auto"/>
              <w:left w:val="single" w:sz="6" w:space="0" w:color="auto"/>
              <w:bottom w:val="single" w:sz="4" w:space="0" w:color="auto"/>
              <w:right w:val="single" w:sz="4" w:space="0" w:color="auto"/>
            </w:tcBorders>
            <w:vAlign w:val="center"/>
          </w:tcPr>
          <w:p w14:paraId="70A1DD50"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·讲授，多媒体展示</w:t>
            </w:r>
          </w:p>
          <w:p w14:paraId="0CB42AD8"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·用云平台进行评价及考核</w:t>
            </w:r>
          </w:p>
          <w:p w14:paraId="76DC5FC8" w14:textId="77777777" w:rsidR="00000000" w:rsidRDefault="00000000">
            <w:pPr>
              <w:autoSpaceDE w:val="0"/>
              <w:autoSpaceDN w:val="0"/>
              <w:spacing w:line="460" w:lineRule="atLeast"/>
              <w:rPr>
                <w:rFonts w:ascii="仿宋_GB2312" w:eastAsia="仿宋_GB2312" w:hAnsi="仿宋_GB2312" w:cs="仿宋_GB2312"/>
                <w:snapToGrid w:val="0"/>
                <w:color w:val="000000"/>
                <w:kern w:val="0"/>
                <w:szCs w:val="21"/>
              </w:rPr>
            </w:pPr>
            <w:r>
              <w:rPr>
                <w:rFonts w:ascii="仿宋_GB2312" w:eastAsia="仿宋_GB2312" w:hAnsi="仿宋_GB2312" w:cs="仿宋_GB2312" w:hint="eastAsia"/>
                <w:snapToGrid w:val="0"/>
                <w:color w:val="000000"/>
                <w:kern w:val="0"/>
                <w:szCs w:val="21"/>
              </w:rPr>
              <w:t>·提出问题</w:t>
            </w:r>
          </w:p>
        </w:tc>
        <w:tc>
          <w:tcPr>
            <w:tcW w:w="826" w:type="dxa"/>
            <w:tcBorders>
              <w:top w:val="single" w:sz="4" w:space="0" w:color="auto"/>
              <w:left w:val="single" w:sz="4" w:space="0" w:color="auto"/>
              <w:bottom w:val="single" w:sz="4" w:space="0" w:color="auto"/>
              <w:right w:val="single" w:sz="4" w:space="0" w:color="auto"/>
            </w:tcBorders>
            <w:vAlign w:val="center"/>
          </w:tcPr>
          <w:p w14:paraId="7F536826"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6（理论4，实践2）</w:t>
            </w:r>
          </w:p>
        </w:tc>
      </w:tr>
      <w:tr w:rsidR="00000000" w14:paraId="417B2BED" w14:textId="77777777">
        <w:trPr>
          <w:trHeight w:val="4581"/>
          <w:jc w:val="center"/>
        </w:trPr>
        <w:tc>
          <w:tcPr>
            <w:tcW w:w="516" w:type="dxa"/>
            <w:tcBorders>
              <w:top w:val="single" w:sz="6" w:space="0" w:color="auto"/>
              <w:left w:val="single" w:sz="6" w:space="0" w:color="auto"/>
              <w:right w:val="single" w:sz="6" w:space="0" w:color="auto"/>
            </w:tcBorders>
            <w:vAlign w:val="center"/>
          </w:tcPr>
          <w:p w14:paraId="5B9F6F70"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lastRenderedPageBreak/>
              <w:t>5</w:t>
            </w:r>
          </w:p>
        </w:tc>
        <w:tc>
          <w:tcPr>
            <w:tcW w:w="1413" w:type="dxa"/>
            <w:tcBorders>
              <w:top w:val="single" w:sz="6" w:space="0" w:color="auto"/>
              <w:left w:val="single" w:sz="6" w:space="0" w:color="auto"/>
              <w:right w:val="single" w:sz="6" w:space="0" w:color="auto"/>
            </w:tcBorders>
            <w:vAlign w:val="center"/>
          </w:tcPr>
          <w:p w14:paraId="0E83017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休息与活动</w:t>
            </w:r>
          </w:p>
        </w:tc>
        <w:tc>
          <w:tcPr>
            <w:tcW w:w="4330" w:type="dxa"/>
            <w:tcBorders>
              <w:top w:val="single" w:sz="6" w:space="0" w:color="auto"/>
              <w:left w:val="single" w:sz="6" w:space="0" w:color="auto"/>
              <w:right w:val="single" w:sz="6" w:space="0" w:color="auto"/>
            </w:tcBorders>
          </w:tcPr>
          <w:p w14:paraId="52DB192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A60C37C"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·掌握：①常见的睡眠障碍与护理措施②满足病人活动需要的护理措施</w:t>
            </w:r>
          </w:p>
          <w:p w14:paraId="2D384F7A"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·熟悉：①休息与活动的意义②影响休息与睡眠的因素③活动受限的原因及集体的影响④满足病人活动需要的评估及常见的护理问题</w:t>
            </w:r>
          </w:p>
          <w:p w14:paraId="644DD69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snapToGrid w:val="0"/>
                <w:color w:val="000000"/>
                <w:kern w:val="0"/>
                <w:szCs w:val="21"/>
              </w:rPr>
            </w:pPr>
            <w:r>
              <w:rPr>
                <w:rFonts w:ascii="仿宋_GB2312" w:eastAsia="仿宋_GB2312" w:hAnsi="仿宋_GB2312" w:cs="仿宋_GB2312" w:hint="eastAsia"/>
                <w:snapToGrid w:val="0"/>
                <w:color w:val="000000"/>
                <w:kern w:val="0"/>
                <w:szCs w:val="21"/>
              </w:rPr>
              <w:t>·会评估病人的睡眠质量</w:t>
            </w:r>
          </w:p>
          <w:p w14:paraId="192DF5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snapToGrid w:val="0"/>
                <w:color w:val="000000"/>
                <w:kern w:val="0"/>
                <w:szCs w:val="21"/>
              </w:rPr>
              <w:t>·能为病人创造有利于睡眠的环境</w:t>
            </w:r>
          </w:p>
        </w:tc>
        <w:tc>
          <w:tcPr>
            <w:tcW w:w="2078" w:type="dxa"/>
            <w:tcBorders>
              <w:top w:val="single" w:sz="6" w:space="0" w:color="auto"/>
              <w:left w:val="single" w:sz="6" w:space="0" w:color="auto"/>
              <w:right w:val="single" w:sz="6" w:space="0" w:color="auto"/>
            </w:tcBorders>
            <w:vAlign w:val="center"/>
          </w:tcPr>
          <w:p w14:paraId="13210AF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75AF614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6432D02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top w:val="single" w:sz="6" w:space="0" w:color="auto"/>
              <w:left w:val="single" w:sz="6" w:space="0" w:color="auto"/>
              <w:right w:val="single" w:sz="6" w:space="0" w:color="auto"/>
            </w:tcBorders>
            <w:vAlign w:val="center"/>
          </w:tcPr>
          <w:p w14:paraId="0C695F56"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2</w:t>
            </w:r>
          </w:p>
        </w:tc>
      </w:tr>
      <w:tr w:rsidR="00000000" w14:paraId="2CB06126" w14:textId="77777777">
        <w:trPr>
          <w:trHeight w:val="1965"/>
          <w:jc w:val="center"/>
        </w:trPr>
        <w:tc>
          <w:tcPr>
            <w:tcW w:w="516" w:type="dxa"/>
            <w:tcBorders>
              <w:top w:val="single" w:sz="6" w:space="0" w:color="auto"/>
              <w:left w:val="single" w:sz="6" w:space="0" w:color="auto"/>
              <w:right w:val="single" w:sz="6" w:space="0" w:color="auto"/>
            </w:tcBorders>
            <w:vAlign w:val="center"/>
          </w:tcPr>
          <w:p w14:paraId="2D50FA17" w14:textId="77777777" w:rsidR="00000000" w:rsidRDefault="00000000">
            <w:pPr>
              <w:autoSpaceDE w:val="0"/>
              <w:autoSpaceDN w:val="0"/>
              <w:spacing w:line="460" w:lineRule="atLeast"/>
              <w:jc w:val="center"/>
              <w:rPr>
                <w:color w:val="000000"/>
                <w:szCs w:val="21"/>
              </w:rPr>
            </w:pPr>
            <w:r>
              <w:rPr>
                <w:color w:val="000000"/>
                <w:szCs w:val="21"/>
              </w:rPr>
              <w:t>6</w:t>
            </w:r>
          </w:p>
        </w:tc>
        <w:tc>
          <w:tcPr>
            <w:tcW w:w="1413" w:type="dxa"/>
            <w:tcBorders>
              <w:top w:val="single" w:sz="6" w:space="0" w:color="auto"/>
              <w:left w:val="single" w:sz="6" w:space="0" w:color="auto"/>
              <w:bottom w:val="single" w:sz="6" w:space="0" w:color="auto"/>
              <w:right w:val="single" w:sz="6" w:space="0" w:color="auto"/>
            </w:tcBorders>
            <w:vAlign w:val="center"/>
          </w:tcPr>
          <w:p w14:paraId="169719C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病人的清洁护理</w:t>
            </w:r>
          </w:p>
        </w:tc>
        <w:tc>
          <w:tcPr>
            <w:tcW w:w="4330" w:type="dxa"/>
            <w:tcBorders>
              <w:top w:val="single" w:sz="6" w:space="0" w:color="auto"/>
              <w:left w:val="single" w:sz="6" w:space="0" w:color="auto"/>
              <w:right w:val="single" w:sz="6" w:space="0" w:color="auto"/>
            </w:tcBorders>
            <w:vAlign w:val="center"/>
          </w:tcPr>
          <w:p w14:paraId="3DC49D7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AD9C495"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·掌握：①特殊口腔护理②头发护理③皮肤护理④压疮的预防及护理</w:t>
            </w:r>
          </w:p>
          <w:p w14:paraId="4F57669D"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·熟悉：①床上梳发、洗发②床上擦浴及背部护理③压疮评估、易发人群及好发部位④卧床病人理床单</w:t>
            </w:r>
          </w:p>
          <w:p w14:paraId="670870BF"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p>
          <w:p w14:paraId="49DA35D0" w14:textId="77777777" w:rsidR="00000000" w:rsidRDefault="00000000">
            <w:pPr>
              <w:autoSpaceDE w:val="0"/>
              <w:autoSpaceDN w:val="0"/>
              <w:spacing w:line="460" w:lineRule="atLeast"/>
              <w:ind w:firstLineChars="200" w:firstLine="420"/>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·了解食品中致病菌检验的意义</w:t>
            </w:r>
          </w:p>
          <w:p w14:paraId="534F5204"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·熟悉食品中致病菌检验的方法及检验程序</w:t>
            </w:r>
          </w:p>
          <w:p w14:paraId="250A3B0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·会进行口腔卫生的评估；</w:t>
            </w:r>
          </w:p>
          <w:p w14:paraId="1487FBC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·能为一般病人进行口腔卫生指导；</w:t>
            </w:r>
          </w:p>
          <w:p w14:paraId="3FD3A30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·能按照操作程序正确为病人进行特殊的口腔护理，具备细心、耐心等良好的心理品质；</w:t>
            </w:r>
          </w:p>
          <w:p w14:paraId="35229FF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·能为不能自理的病人进行床上洗发，具备细心、耐心等良好的心理品质；</w:t>
            </w:r>
          </w:p>
          <w:p w14:paraId="0C6048D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·头发护理操作中不发生感冒或受凉；</w:t>
            </w:r>
          </w:p>
          <w:p w14:paraId="64D7F03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·能为病人进行预防压疮的健康教育；</w:t>
            </w:r>
          </w:p>
          <w:p w14:paraId="4B286FF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·会床上擦浴操作，不受凉并使病人舒适；</w:t>
            </w:r>
          </w:p>
          <w:p w14:paraId="695B15D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·在护理活动中密切观察病人及皮肤清洁</w:t>
            </w:r>
            <w:r>
              <w:rPr>
                <w:rFonts w:ascii="仿宋_GB2312" w:eastAsia="仿宋_GB2312" w:hAnsi="仿宋_GB2312" w:cs="仿宋_GB2312" w:hint="eastAsia"/>
                <w:color w:val="000000"/>
                <w:szCs w:val="21"/>
              </w:rPr>
              <w:lastRenderedPageBreak/>
              <w:t>卫生及完好状况，预防并发症发生。</w:t>
            </w:r>
          </w:p>
        </w:tc>
        <w:tc>
          <w:tcPr>
            <w:tcW w:w="2078" w:type="dxa"/>
            <w:tcBorders>
              <w:top w:val="single" w:sz="6" w:space="0" w:color="auto"/>
              <w:left w:val="single" w:sz="6" w:space="0" w:color="auto"/>
              <w:right w:val="single" w:sz="6" w:space="0" w:color="auto"/>
            </w:tcBorders>
          </w:tcPr>
          <w:p w14:paraId="6662AAA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7239D40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·画图展示</w:t>
            </w:r>
          </w:p>
          <w:p w14:paraId="2F88316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16DC88C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2576EE0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5E96C9A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59C1F0B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top w:val="single" w:sz="6" w:space="0" w:color="auto"/>
              <w:left w:val="single" w:sz="6" w:space="0" w:color="auto"/>
              <w:right w:val="single" w:sz="6" w:space="0" w:color="auto"/>
            </w:tcBorders>
            <w:vAlign w:val="center"/>
          </w:tcPr>
          <w:p w14:paraId="003C8469" w14:textId="77777777" w:rsidR="00000000" w:rsidRDefault="00000000">
            <w:pPr>
              <w:autoSpaceDE w:val="0"/>
              <w:autoSpaceDN w:val="0"/>
              <w:spacing w:line="460" w:lineRule="atLeast"/>
              <w:jc w:val="center"/>
              <w:rPr>
                <w:rFonts w:ascii="仿宋_GB2312" w:eastAsia="仿宋_GB2312" w:hAnsi="仿宋_GB2312" w:cs="仿宋_GB2312"/>
                <w:color w:val="000000"/>
                <w:szCs w:val="21"/>
              </w:rPr>
            </w:pPr>
            <w:r>
              <w:rPr>
                <w:rFonts w:ascii="仿宋_GB2312" w:eastAsia="仿宋_GB2312" w:hAnsi="仿宋_GB2312" w:cs="仿宋_GB2312"/>
                <w:color w:val="000000"/>
                <w:szCs w:val="21"/>
              </w:rPr>
              <w:t>6</w:t>
            </w:r>
          </w:p>
        </w:tc>
      </w:tr>
      <w:tr w:rsidR="00000000" w14:paraId="442332F1" w14:textId="77777777">
        <w:trPr>
          <w:trHeight w:val="1965"/>
          <w:jc w:val="center"/>
        </w:trPr>
        <w:tc>
          <w:tcPr>
            <w:tcW w:w="516" w:type="dxa"/>
            <w:tcBorders>
              <w:left w:val="single" w:sz="6" w:space="0" w:color="auto"/>
              <w:right w:val="single" w:sz="6" w:space="0" w:color="auto"/>
            </w:tcBorders>
            <w:vAlign w:val="center"/>
          </w:tcPr>
          <w:p w14:paraId="058BC0B5"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7</w:t>
            </w:r>
          </w:p>
        </w:tc>
        <w:tc>
          <w:tcPr>
            <w:tcW w:w="1413" w:type="dxa"/>
            <w:tcBorders>
              <w:top w:val="single" w:sz="6" w:space="0" w:color="auto"/>
              <w:left w:val="single" w:sz="6" w:space="0" w:color="auto"/>
              <w:bottom w:val="single" w:sz="6" w:space="0" w:color="auto"/>
              <w:right w:val="single" w:sz="6" w:space="0" w:color="auto"/>
            </w:tcBorders>
            <w:vAlign w:val="center"/>
          </w:tcPr>
          <w:p w14:paraId="5D6C8FB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掌握卧床病人更换床单法</w:t>
            </w:r>
          </w:p>
        </w:tc>
        <w:tc>
          <w:tcPr>
            <w:tcW w:w="4330" w:type="dxa"/>
            <w:tcBorders>
              <w:left w:val="single" w:sz="6" w:space="0" w:color="auto"/>
              <w:right w:val="single" w:sz="6" w:space="0" w:color="auto"/>
            </w:tcBorders>
            <w:vAlign w:val="center"/>
          </w:tcPr>
          <w:p w14:paraId="28D1F62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9DE445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帮助病人更换及移动卧位的方法；②保护病人安全的措施；③各种保护具的使用方法及注意事项；</w:t>
            </w:r>
          </w:p>
          <w:p w14:paraId="7EF07A3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·熟悉：使用保护具的目的和高危病人（如坠床、跌倒病人）的安全评估及应急处理。</w:t>
            </w:r>
          </w:p>
          <w:p w14:paraId="6A8DB48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·了解：影响安全的因素。</w:t>
            </w:r>
          </w:p>
          <w:p w14:paraId="59534E0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6BE511B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·具有对高危病人应急处理的能力</w:t>
            </w:r>
          </w:p>
          <w:p w14:paraId="4DE6B6D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·能有正确实施保护病人安全的措施（床档、约束具等）。</w:t>
            </w:r>
          </w:p>
        </w:tc>
        <w:tc>
          <w:tcPr>
            <w:tcW w:w="2078" w:type="dxa"/>
            <w:tcBorders>
              <w:left w:val="single" w:sz="6" w:space="0" w:color="auto"/>
              <w:right w:val="single" w:sz="6" w:space="0" w:color="auto"/>
            </w:tcBorders>
          </w:tcPr>
          <w:p w14:paraId="2701F41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10FE960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11CDC1A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1D8A6E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·自我评价</w:t>
            </w:r>
          </w:p>
          <w:p w14:paraId="62B14D4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46EF491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64D46B3F"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12（理论4.实训8）</w:t>
            </w:r>
          </w:p>
        </w:tc>
      </w:tr>
      <w:tr w:rsidR="00000000" w14:paraId="4D656AA3" w14:textId="77777777">
        <w:trPr>
          <w:trHeight w:val="1965"/>
          <w:jc w:val="center"/>
        </w:trPr>
        <w:tc>
          <w:tcPr>
            <w:tcW w:w="516" w:type="dxa"/>
            <w:tcBorders>
              <w:left w:val="single" w:sz="6" w:space="0" w:color="auto"/>
              <w:right w:val="single" w:sz="6" w:space="0" w:color="auto"/>
            </w:tcBorders>
            <w:vAlign w:val="center"/>
          </w:tcPr>
          <w:p w14:paraId="15662657"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8</w:t>
            </w:r>
          </w:p>
        </w:tc>
        <w:tc>
          <w:tcPr>
            <w:tcW w:w="1413" w:type="dxa"/>
            <w:tcBorders>
              <w:top w:val="single" w:sz="6" w:space="0" w:color="auto"/>
              <w:left w:val="single" w:sz="6" w:space="0" w:color="auto"/>
              <w:bottom w:val="single" w:sz="6" w:space="0" w:color="auto"/>
              <w:right w:val="single" w:sz="6" w:space="0" w:color="auto"/>
            </w:tcBorders>
            <w:vAlign w:val="center"/>
          </w:tcPr>
          <w:p w14:paraId="0AD98278"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掌握医院饮食与营养的护理</w:t>
            </w:r>
          </w:p>
        </w:tc>
        <w:tc>
          <w:tcPr>
            <w:tcW w:w="4330" w:type="dxa"/>
            <w:tcBorders>
              <w:left w:val="single" w:sz="6" w:space="0" w:color="auto"/>
              <w:right w:val="single" w:sz="6" w:space="0" w:color="auto"/>
            </w:tcBorders>
            <w:vAlign w:val="center"/>
          </w:tcPr>
          <w:p w14:paraId="556EE5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A5AAFF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医院饮食的种类、使用范围、原则及用法；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一般饮食护理；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p>
          <w:p w14:paraId="241C53B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饮食与营养对人体健康的意义；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饮食与营养状况评估。</w:t>
            </w:r>
          </w:p>
          <w:p w14:paraId="6DC38E6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23B153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·能对一般病人进行基本饮食的指导；</w:t>
            </w:r>
          </w:p>
          <w:p w14:paraId="2FA95B9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·能正确进行治疗饮食、试验饮食的实施；</w:t>
            </w:r>
          </w:p>
          <w:p w14:paraId="0F2C42D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·具有为住院病人提供饮食护理的能力；</w:t>
            </w:r>
          </w:p>
          <w:p w14:paraId="300D3AC7"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·具有为病人进行饮食与营养指导的能力。</w:t>
            </w:r>
          </w:p>
        </w:tc>
        <w:tc>
          <w:tcPr>
            <w:tcW w:w="2078" w:type="dxa"/>
            <w:tcBorders>
              <w:left w:val="single" w:sz="6" w:space="0" w:color="auto"/>
              <w:right w:val="single" w:sz="6" w:space="0" w:color="auto"/>
            </w:tcBorders>
          </w:tcPr>
          <w:p w14:paraId="0694A3C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F5B1D8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3589560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70B73AE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405B149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·角色扮演（饮食护理）</w:t>
            </w:r>
          </w:p>
          <w:p w14:paraId="0130F37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4DF9E311"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0688E928"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8（理论4.实践4）</w:t>
            </w:r>
          </w:p>
        </w:tc>
      </w:tr>
      <w:tr w:rsidR="00000000" w14:paraId="11E8E4BF" w14:textId="77777777">
        <w:trPr>
          <w:trHeight w:val="1965"/>
          <w:jc w:val="center"/>
        </w:trPr>
        <w:tc>
          <w:tcPr>
            <w:tcW w:w="516" w:type="dxa"/>
            <w:tcBorders>
              <w:left w:val="single" w:sz="6" w:space="0" w:color="auto"/>
              <w:right w:val="single" w:sz="6" w:space="0" w:color="auto"/>
            </w:tcBorders>
            <w:vAlign w:val="center"/>
          </w:tcPr>
          <w:p w14:paraId="46B8D784"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lastRenderedPageBreak/>
              <w:t>9</w:t>
            </w:r>
          </w:p>
        </w:tc>
        <w:tc>
          <w:tcPr>
            <w:tcW w:w="1413" w:type="dxa"/>
            <w:tcBorders>
              <w:top w:val="single" w:sz="6" w:space="0" w:color="auto"/>
              <w:left w:val="single" w:sz="6" w:space="0" w:color="auto"/>
              <w:bottom w:val="single" w:sz="6" w:space="0" w:color="auto"/>
              <w:right w:val="single" w:sz="6" w:space="0" w:color="auto"/>
            </w:tcBorders>
            <w:vAlign w:val="center"/>
          </w:tcPr>
          <w:p w14:paraId="3C30B6C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掌握特殊饮食护理</w:t>
            </w:r>
          </w:p>
        </w:tc>
        <w:tc>
          <w:tcPr>
            <w:tcW w:w="4330" w:type="dxa"/>
            <w:tcBorders>
              <w:left w:val="single" w:sz="6" w:space="0" w:color="auto"/>
              <w:right w:val="single" w:sz="6" w:space="0" w:color="auto"/>
            </w:tcBorders>
            <w:vAlign w:val="center"/>
          </w:tcPr>
          <w:p w14:paraId="33E193C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FEE900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·掌握：鼻饲技术。</w:t>
            </w:r>
          </w:p>
          <w:p w14:paraId="2E17735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要素饮食；</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一般饮食护理；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p>
          <w:p w14:paraId="54B0CFE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教学能力：</w:t>
            </w:r>
          </w:p>
          <w:p w14:paraId="1E24E86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·具有为病人进行饮食与营养指导的能力；</w:t>
            </w:r>
          </w:p>
          <w:p w14:paraId="08F55BB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·能正确完成鼻饲操作；</w:t>
            </w:r>
          </w:p>
          <w:p w14:paraId="47CC4536"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·能验证胃管是否在胃内</w:t>
            </w:r>
          </w:p>
        </w:tc>
        <w:tc>
          <w:tcPr>
            <w:tcW w:w="2078" w:type="dxa"/>
            <w:tcBorders>
              <w:left w:val="single" w:sz="6" w:space="0" w:color="auto"/>
              <w:right w:val="single" w:sz="6" w:space="0" w:color="auto"/>
            </w:tcBorders>
          </w:tcPr>
          <w:p w14:paraId="0287F84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354C25C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45519A9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66A52B4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697B715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·角色扮演（饮食护理）</w:t>
            </w:r>
          </w:p>
          <w:p w14:paraId="3FB7987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·用云平台进行评价</w:t>
            </w:r>
          </w:p>
        </w:tc>
        <w:tc>
          <w:tcPr>
            <w:tcW w:w="826" w:type="dxa"/>
            <w:tcBorders>
              <w:left w:val="single" w:sz="6" w:space="0" w:color="auto"/>
              <w:right w:val="single" w:sz="6" w:space="0" w:color="auto"/>
            </w:tcBorders>
            <w:vAlign w:val="center"/>
          </w:tcPr>
          <w:p w14:paraId="01616EE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14（理论6，实践8）</w:t>
            </w:r>
          </w:p>
        </w:tc>
      </w:tr>
      <w:tr w:rsidR="00000000" w14:paraId="025A9BB0" w14:textId="77777777">
        <w:trPr>
          <w:trHeight w:val="1311"/>
          <w:jc w:val="center"/>
        </w:trPr>
        <w:tc>
          <w:tcPr>
            <w:tcW w:w="516" w:type="dxa"/>
            <w:tcBorders>
              <w:left w:val="single" w:sz="6" w:space="0" w:color="auto"/>
              <w:right w:val="single" w:sz="6" w:space="0" w:color="auto"/>
            </w:tcBorders>
            <w:vAlign w:val="center"/>
          </w:tcPr>
          <w:p w14:paraId="2E9C2FC8"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10</w:t>
            </w:r>
          </w:p>
        </w:tc>
        <w:tc>
          <w:tcPr>
            <w:tcW w:w="1413" w:type="dxa"/>
            <w:tcBorders>
              <w:top w:val="single" w:sz="6" w:space="0" w:color="auto"/>
              <w:left w:val="single" w:sz="6" w:space="0" w:color="auto"/>
              <w:right w:val="single" w:sz="6" w:space="0" w:color="auto"/>
            </w:tcBorders>
            <w:vAlign w:val="center"/>
          </w:tcPr>
          <w:p w14:paraId="38E1DA12"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掌握病人排尿异常的护理</w:t>
            </w:r>
          </w:p>
        </w:tc>
        <w:tc>
          <w:tcPr>
            <w:tcW w:w="4330" w:type="dxa"/>
            <w:tcBorders>
              <w:left w:val="single" w:sz="6" w:space="0" w:color="auto"/>
              <w:right w:val="single" w:sz="6" w:space="0" w:color="auto"/>
            </w:tcBorders>
            <w:vAlign w:val="center"/>
          </w:tcPr>
          <w:p w14:paraId="4B77AE8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96F6C3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正常尿液的评估；</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排尿异常的护理；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导尿术和留置导尿术。</w:t>
            </w:r>
          </w:p>
          <w:p w14:paraId="5297B8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·熟悉：影响排尿的因素。</w:t>
            </w:r>
          </w:p>
          <w:p w14:paraId="218343A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·了解：诱导排尿法。</w:t>
            </w:r>
          </w:p>
          <w:p w14:paraId="43C7AC3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5E27BE6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·能对病人排尿活动进行评估；</w:t>
            </w:r>
          </w:p>
          <w:p w14:paraId="35C08D9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·能正确实施男、女病人的导尿和留置导尿操作及膀胱冲洗；</w:t>
            </w:r>
          </w:p>
          <w:p w14:paraId="3704FD0D"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·操作中严格执行无菌操作原则，方法正确，动作规范，体现对患者的关心</w:t>
            </w:r>
          </w:p>
        </w:tc>
        <w:tc>
          <w:tcPr>
            <w:tcW w:w="2078" w:type="dxa"/>
            <w:tcBorders>
              <w:left w:val="single" w:sz="6" w:space="0" w:color="auto"/>
              <w:right w:val="single" w:sz="6" w:space="0" w:color="auto"/>
            </w:tcBorders>
          </w:tcPr>
          <w:p w14:paraId="556CA6B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4445009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·图片展示</w:t>
            </w:r>
          </w:p>
          <w:p w14:paraId="2634849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·对比教学（各种灌肠法）</w:t>
            </w:r>
          </w:p>
          <w:p w14:paraId="47CF3F4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74BAE63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411E0BD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·实训：演示、练习、考核</w:t>
            </w:r>
          </w:p>
          <w:p w14:paraId="38B924B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·角色扮演（体现人文关怀）</w:t>
            </w:r>
          </w:p>
          <w:p w14:paraId="31C2C37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17D0B80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3D3055DC"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14（理论4，实践10）</w:t>
            </w:r>
          </w:p>
        </w:tc>
      </w:tr>
      <w:tr w:rsidR="00000000" w14:paraId="40FDA9E2" w14:textId="77777777">
        <w:trPr>
          <w:trHeight w:val="1311"/>
          <w:jc w:val="center"/>
        </w:trPr>
        <w:tc>
          <w:tcPr>
            <w:tcW w:w="516" w:type="dxa"/>
            <w:tcBorders>
              <w:left w:val="single" w:sz="6" w:space="0" w:color="auto"/>
              <w:right w:val="single" w:sz="6" w:space="0" w:color="auto"/>
            </w:tcBorders>
            <w:vAlign w:val="center"/>
          </w:tcPr>
          <w:p w14:paraId="69135C58"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11</w:t>
            </w:r>
          </w:p>
        </w:tc>
        <w:tc>
          <w:tcPr>
            <w:tcW w:w="1413" w:type="dxa"/>
            <w:tcBorders>
              <w:left w:val="single" w:sz="6" w:space="0" w:color="auto"/>
              <w:right w:val="single" w:sz="6" w:space="0" w:color="auto"/>
            </w:tcBorders>
            <w:vAlign w:val="center"/>
          </w:tcPr>
          <w:p w14:paraId="26CA78A9"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掌握冷疗技术</w:t>
            </w:r>
          </w:p>
        </w:tc>
        <w:tc>
          <w:tcPr>
            <w:tcW w:w="4330" w:type="dxa"/>
            <w:tcBorders>
              <w:left w:val="single" w:sz="6" w:space="0" w:color="auto"/>
              <w:right w:val="single" w:sz="6" w:space="0" w:color="auto"/>
            </w:tcBorders>
            <w:vAlign w:val="center"/>
          </w:tcPr>
          <w:p w14:paraId="4083A9F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61C0F8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冷疗法的禁忌和注意事项；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各种临床常用冷疗的方法。</w:t>
            </w:r>
          </w:p>
          <w:p w14:paraId="4D8D24C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冷疗的目的及影响冷热效果的因素。</w:t>
            </w:r>
          </w:p>
          <w:p w14:paraId="3AC8EB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·了解冷疗法的生理效应。</w:t>
            </w:r>
          </w:p>
          <w:p w14:paraId="49113E5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35927B9C"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lastRenderedPageBreak/>
              <w:t>·具有合理使用冷疗技术为病人健康服务的能力：会使用冰袋、冰帽，放置部位适宜、方法正确；会温水、乙醇擦浴，手法、部位正确，降温效果好。</w:t>
            </w:r>
          </w:p>
        </w:tc>
        <w:tc>
          <w:tcPr>
            <w:tcW w:w="2078" w:type="dxa"/>
            <w:tcBorders>
              <w:left w:val="single" w:sz="6" w:space="0" w:color="auto"/>
              <w:right w:val="single" w:sz="6" w:space="0" w:color="auto"/>
            </w:tcBorders>
            <w:vAlign w:val="center"/>
          </w:tcPr>
          <w:p w14:paraId="4F9CD2E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4E52FF5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6119B0B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w:t>
            </w:r>
          </w:p>
          <w:p w14:paraId="319E85E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·演示操作</w:t>
            </w:r>
          </w:p>
          <w:p w14:paraId="2984963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·模拟实训练习</w:t>
            </w:r>
          </w:p>
          <w:p w14:paraId="5E83698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7274976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·用云平台进行评价及考核</w:t>
            </w:r>
          </w:p>
          <w:p w14:paraId="7DE0C35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32B41105"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11310925" w14:textId="77777777">
        <w:trPr>
          <w:trHeight w:val="1311"/>
          <w:jc w:val="center"/>
        </w:trPr>
        <w:tc>
          <w:tcPr>
            <w:tcW w:w="516" w:type="dxa"/>
            <w:tcBorders>
              <w:left w:val="single" w:sz="6" w:space="0" w:color="auto"/>
              <w:right w:val="single" w:sz="6" w:space="0" w:color="auto"/>
            </w:tcBorders>
            <w:vAlign w:val="center"/>
          </w:tcPr>
          <w:p w14:paraId="5E6B1E5D"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12</w:t>
            </w:r>
          </w:p>
        </w:tc>
        <w:tc>
          <w:tcPr>
            <w:tcW w:w="1413" w:type="dxa"/>
            <w:tcBorders>
              <w:left w:val="single" w:sz="6" w:space="0" w:color="auto"/>
              <w:right w:val="single" w:sz="6" w:space="0" w:color="auto"/>
            </w:tcBorders>
            <w:vAlign w:val="center"/>
          </w:tcPr>
          <w:p w14:paraId="4E78B8C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掌握热疗技术</w:t>
            </w:r>
          </w:p>
        </w:tc>
        <w:tc>
          <w:tcPr>
            <w:tcW w:w="4330" w:type="dxa"/>
            <w:tcBorders>
              <w:left w:val="single" w:sz="6" w:space="0" w:color="auto"/>
              <w:right w:val="single" w:sz="6" w:space="0" w:color="auto"/>
            </w:tcBorders>
            <w:vAlign w:val="center"/>
          </w:tcPr>
          <w:p w14:paraId="08550F0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22E082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热疗法的禁忌和注意事项；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各种临床常用热疗的方法。</w:t>
            </w:r>
          </w:p>
          <w:p w14:paraId="7AFBE27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热疗的目的及影响冷热效果的因素。</w:t>
            </w:r>
          </w:p>
          <w:p w14:paraId="2C2BB35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238BEEC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·了解热疗法的生理效应；</w:t>
            </w:r>
          </w:p>
          <w:p w14:paraId="4A54A19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·具有合理使用热疗技术为病人健康服务的能力：会使用热水袋，不发生烫伤等意外；会使用红外线灯，距离、时间正确，会湿热敷，不发生烫伤等意外；</w:t>
            </w:r>
          </w:p>
          <w:p w14:paraId="2BC7C80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·能指导病人进行温水坐浴，温度、坐浴时间适宜。</w:t>
            </w:r>
          </w:p>
        </w:tc>
        <w:tc>
          <w:tcPr>
            <w:tcW w:w="2078" w:type="dxa"/>
            <w:tcBorders>
              <w:left w:val="single" w:sz="6" w:space="0" w:color="auto"/>
              <w:right w:val="single" w:sz="6" w:space="0" w:color="auto"/>
            </w:tcBorders>
          </w:tcPr>
          <w:p w14:paraId="2A520B9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28935F2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38B6E1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·对比教学</w:t>
            </w:r>
          </w:p>
          <w:p w14:paraId="5AE7165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·演示操作</w:t>
            </w:r>
          </w:p>
          <w:p w14:paraId="6E50C44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·模拟实训练习</w:t>
            </w:r>
          </w:p>
          <w:p w14:paraId="2B87766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06D5D1F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53E5B3D2"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2E30621F"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097E268A" w14:textId="77777777">
        <w:trPr>
          <w:trHeight w:val="1311"/>
          <w:jc w:val="center"/>
        </w:trPr>
        <w:tc>
          <w:tcPr>
            <w:tcW w:w="516" w:type="dxa"/>
            <w:tcBorders>
              <w:left w:val="single" w:sz="6" w:space="0" w:color="auto"/>
              <w:right w:val="single" w:sz="6" w:space="0" w:color="auto"/>
            </w:tcBorders>
            <w:vAlign w:val="center"/>
          </w:tcPr>
          <w:p w14:paraId="213887AA"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13</w:t>
            </w:r>
          </w:p>
        </w:tc>
        <w:tc>
          <w:tcPr>
            <w:tcW w:w="1413" w:type="dxa"/>
            <w:tcBorders>
              <w:left w:val="single" w:sz="6" w:space="0" w:color="auto"/>
              <w:right w:val="single" w:sz="6" w:space="0" w:color="auto"/>
            </w:tcBorders>
            <w:vAlign w:val="center"/>
          </w:tcPr>
          <w:p w14:paraId="10B9599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生命体征的观察与护理</w:t>
            </w:r>
          </w:p>
        </w:tc>
        <w:tc>
          <w:tcPr>
            <w:tcW w:w="4330" w:type="dxa"/>
            <w:tcBorders>
              <w:left w:val="single" w:sz="6" w:space="0" w:color="auto"/>
              <w:right w:val="single" w:sz="6" w:space="0" w:color="auto"/>
            </w:tcBorders>
            <w:vAlign w:val="center"/>
          </w:tcPr>
          <w:p w14:paraId="31AE4DE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06F0115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异常体温的观察、测量、护理及注意事项；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脉搏、呼吸、观察、测量、护理及注意事项；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异常血压的观察、测量、护理及注意事项。</w:t>
            </w:r>
          </w:p>
          <w:p w14:paraId="42D59F0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·学生讲授（锻炼学生），多媒体展示</w:t>
            </w:r>
          </w:p>
          <w:p w14:paraId="1841BAE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2CAB61EB"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p>
        </w:tc>
        <w:tc>
          <w:tcPr>
            <w:tcW w:w="2078" w:type="dxa"/>
            <w:tcBorders>
              <w:left w:val="single" w:sz="6" w:space="0" w:color="auto"/>
              <w:right w:val="single" w:sz="6" w:space="0" w:color="auto"/>
            </w:tcBorders>
          </w:tcPr>
          <w:p w14:paraId="45D84AD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·学生讲授（锻炼学生），多媒体展示</w:t>
            </w:r>
          </w:p>
          <w:p w14:paraId="15BBE51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·启发教学</w:t>
            </w:r>
          </w:p>
          <w:p w14:paraId="6451363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1A98D98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w:t>
            </w:r>
          </w:p>
          <w:p w14:paraId="74DE072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·融入式角色扮演</w:t>
            </w:r>
          </w:p>
          <w:p w14:paraId="04C6423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·模拟演练操作（生命体征测量）</w:t>
            </w:r>
          </w:p>
          <w:p w14:paraId="44E6C4A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·实训练习</w:t>
            </w:r>
          </w:p>
          <w:p w14:paraId="6412BC2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3DC9896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77A7F3D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w:t>
            </w:r>
            <w:r>
              <w:rPr>
                <w:rFonts w:ascii="仿宋_GB2312" w:eastAsia="仿宋_GB2312" w:hAnsi="仿宋_GB2312" w:cs="仿宋_GB2312" w:hint="eastAsia"/>
                <w:color w:val="000000"/>
                <w:szCs w:val="21"/>
              </w:rPr>
              <w:lastRenderedPageBreak/>
              <w:t>及考核</w:t>
            </w:r>
          </w:p>
          <w:p w14:paraId="0142D315"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7BA87AD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00915803" w14:textId="77777777">
        <w:trPr>
          <w:trHeight w:val="261"/>
          <w:jc w:val="center"/>
        </w:trPr>
        <w:tc>
          <w:tcPr>
            <w:tcW w:w="516" w:type="dxa"/>
            <w:tcBorders>
              <w:left w:val="single" w:sz="6" w:space="0" w:color="auto"/>
              <w:right w:val="single" w:sz="6" w:space="0" w:color="auto"/>
            </w:tcBorders>
            <w:vAlign w:val="center"/>
          </w:tcPr>
          <w:p w14:paraId="47992844"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14</w:t>
            </w:r>
          </w:p>
        </w:tc>
        <w:tc>
          <w:tcPr>
            <w:tcW w:w="1413" w:type="dxa"/>
            <w:tcBorders>
              <w:left w:val="single" w:sz="6" w:space="0" w:color="auto"/>
              <w:right w:val="single" w:sz="6" w:space="0" w:color="auto"/>
            </w:tcBorders>
            <w:vAlign w:val="center"/>
          </w:tcPr>
          <w:p w14:paraId="59AA9204"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掌握给药护理</w:t>
            </w:r>
          </w:p>
        </w:tc>
        <w:tc>
          <w:tcPr>
            <w:tcW w:w="4330" w:type="dxa"/>
            <w:tcBorders>
              <w:left w:val="single" w:sz="6" w:space="0" w:color="auto"/>
              <w:right w:val="single" w:sz="6" w:space="0" w:color="auto"/>
            </w:tcBorders>
          </w:tcPr>
          <w:p w14:paraId="7FB0911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3BA55C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用药原则；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处方常用外文缩写。</w:t>
            </w:r>
          </w:p>
          <w:p w14:paraId="0E797F0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影响药物作用的因素；</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药物领取方法，药物保管要求；</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口服给药的评估、摆药、发药和发药后用物处理。</w:t>
            </w:r>
          </w:p>
          <w:p w14:paraId="660BBB5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·了解：给药的护理程序。</w:t>
            </w:r>
          </w:p>
          <w:p w14:paraId="6B1EB31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3CAA72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·会按药物的性质、种类进行药物保管；</w:t>
            </w:r>
          </w:p>
          <w:p w14:paraId="607B0C1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·能指导病人正确用药；</w:t>
            </w:r>
          </w:p>
          <w:p w14:paraId="6B8B731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·会口服给药，方法、时间正确；</w:t>
            </w:r>
          </w:p>
          <w:p w14:paraId="5FCA538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·给药过程中严谨求实，认真观察病人用药后的反应并详细记录，为治疗、诊断提供依据。</w:t>
            </w:r>
          </w:p>
        </w:tc>
        <w:tc>
          <w:tcPr>
            <w:tcW w:w="2078" w:type="dxa"/>
            <w:tcBorders>
              <w:left w:val="single" w:sz="6" w:space="0" w:color="auto"/>
              <w:right w:val="single" w:sz="6" w:space="0" w:color="auto"/>
            </w:tcBorders>
            <w:vAlign w:val="center"/>
          </w:tcPr>
          <w:p w14:paraId="6FF341B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622D54A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016AEC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013C66D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w:t>
            </w:r>
          </w:p>
          <w:p w14:paraId="0541BEF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角色扮演（各种给药护患沟通）</w:t>
            </w:r>
          </w:p>
          <w:p w14:paraId="4648CD9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7203E24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1A0D596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p w14:paraId="0D2B652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·提出问题</w:t>
            </w:r>
          </w:p>
        </w:tc>
        <w:tc>
          <w:tcPr>
            <w:tcW w:w="826" w:type="dxa"/>
            <w:tcBorders>
              <w:left w:val="single" w:sz="6" w:space="0" w:color="auto"/>
              <w:right w:val="single" w:sz="6" w:space="0" w:color="auto"/>
            </w:tcBorders>
            <w:vAlign w:val="center"/>
          </w:tcPr>
          <w:p w14:paraId="54D4BE32"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44FC6E90" w14:textId="77777777">
        <w:trPr>
          <w:trHeight w:val="261"/>
          <w:jc w:val="center"/>
        </w:trPr>
        <w:tc>
          <w:tcPr>
            <w:tcW w:w="516" w:type="dxa"/>
            <w:tcBorders>
              <w:left w:val="single" w:sz="6" w:space="0" w:color="auto"/>
              <w:right w:val="single" w:sz="6" w:space="0" w:color="auto"/>
            </w:tcBorders>
            <w:vAlign w:val="center"/>
          </w:tcPr>
          <w:p w14:paraId="62EA2861"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15</w:t>
            </w:r>
          </w:p>
        </w:tc>
        <w:tc>
          <w:tcPr>
            <w:tcW w:w="1413" w:type="dxa"/>
            <w:tcBorders>
              <w:left w:val="single" w:sz="6" w:space="0" w:color="auto"/>
              <w:right w:val="single" w:sz="6" w:space="0" w:color="auto"/>
            </w:tcBorders>
            <w:vAlign w:val="center"/>
          </w:tcPr>
          <w:p w14:paraId="4C1C016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掌握药物抽吸法及常用注射法</w:t>
            </w:r>
          </w:p>
        </w:tc>
        <w:tc>
          <w:tcPr>
            <w:tcW w:w="4330" w:type="dxa"/>
            <w:tcBorders>
              <w:left w:val="single" w:sz="6" w:space="0" w:color="auto"/>
              <w:right w:val="single" w:sz="6" w:space="0" w:color="auto"/>
            </w:tcBorders>
            <w:vAlign w:val="center"/>
          </w:tcPr>
          <w:p w14:paraId="696ED4D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5BE8F335"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·掌握：皮内、皮下注射、肌内注射、静脉注射的目的、体位、部位、方法和注意事项。</w:t>
            </w:r>
          </w:p>
          <w:p w14:paraId="12C718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·熟悉：注射的原则、注射药物的查对。</w:t>
            </w:r>
          </w:p>
          <w:p w14:paraId="7B0AE90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6C99E01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·能进行皮内、皮下、肌内、静脉注射，要求部位、进针深度正确；</w:t>
            </w:r>
          </w:p>
          <w:p w14:paraId="6636E7F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·能熟练准备注射物品，正确抽吸药液。</w:t>
            </w:r>
          </w:p>
        </w:tc>
        <w:tc>
          <w:tcPr>
            <w:tcW w:w="2078" w:type="dxa"/>
            <w:tcBorders>
              <w:left w:val="single" w:sz="6" w:space="0" w:color="auto"/>
              <w:right w:val="single" w:sz="6" w:space="0" w:color="auto"/>
            </w:tcBorders>
          </w:tcPr>
          <w:p w14:paraId="636EA4B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26B19EC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724144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0E2AAA2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w:t>
            </w:r>
          </w:p>
          <w:p w14:paraId="15CF7E0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角色扮演（各种注射时护患沟通）</w:t>
            </w:r>
          </w:p>
          <w:p w14:paraId="5421B74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2C81844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7FBD3F7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1A38624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001EA0C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320B80A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w:t>
            </w:r>
            <w:r>
              <w:rPr>
                <w:rFonts w:ascii="仿宋_GB2312" w:eastAsia="仿宋_GB2312" w:hAnsi="仿宋_GB2312" w:cs="仿宋_GB2312" w:hint="eastAsia"/>
                <w:color w:val="000000"/>
                <w:szCs w:val="21"/>
              </w:rPr>
              <w:lastRenderedPageBreak/>
              <w:t>及考核</w:t>
            </w:r>
          </w:p>
        </w:tc>
        <w:tc>
          <w:tcPr>
            <w:tcW w:w="826" w:type="dxa"/>
            <w:tcBorders>
              <w:left w:val="single" w:sz="6" w:space="0" w:color="auto"/>
              <w:right w:val="single" w:sz="6" w:space="0" w:color="auto"/>
            </w:tcBorders>
            <w:vAlign w:val="center"/>
          </w:tcPr>
          <w:p w14:paraId="7E52AE7A"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73A9A688" w14:textId="77777777">
        <w:trPr>
          <w:trHeight w:val="261"/>
          <w:jc w:val="center"/>
        </w:trPr>
        <w:tc>
          <w:tcPr>
            <w:tcW w:w="516" w:type="dxa"/>
            <w:tcBorders>
              <w:left w:val="single" w:sz="6" w:space="0" w:color="auto"/>
              <w:right w:val="single" w:sz="6" w:space="0" w:color="auto"/>
            </w:tcBorders>
            <w:vAlign w:val="center"/>
          </w:tcPr>
          <w:p w14:paraId="232A680D"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16</w:t>
            </w:r>
          </w:p>
        </w:tc>
        <w:tc>
          <w:tcPr>
            <w:tcW w:w="1413" w:type="dxa"/>
            <w:tcBorders>
              <w:left w:val="single" w:sz="6" w:space="0" w:color="auto"/>
              <w:right w:val="single" w:sz="6" w:space="0" w:color="auto"/>
            </w:tcBorders>
            <w:vAlign w:val="center"/>
          </w:tcPr>
          <w:p w14:paraId="2CE677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掌握药物过敏试验方法及局部给药方法</w:t>
            </w:r>
          </w:p>
        </w:tc>
        <w:tc>
          <w:tcPr>
            <w:tcW w:w="4330" w:type="dxa"/>
            <w:tcBorders>
              <w:left w:val="single" w:sz="6" w:space="0" w:color="auto"/>
              <w:right w:val="single" w:sz="6" w:space="0" w:color="auto"/>
            </w:tcBorders>
          </w:tcPr>
          <w:p w14:paraId="20747CD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2FE4F2E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超声雾化吸入法的目的、方法及注意事项；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过敏性休克的处理原则；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药物过敏试验的方法；④</w:t>
            </w:r>
            <w:r>
              <w:rPr>
                <w:rFonts w:ascii="仿宋_GB2312" w:eastAsia="仿宋_GB2312" w:hAnsi="仿宋_GB2312" w:cs="仿宋_GB2312"/>
                <w:color w:val="000000"/>
                <w:szCs w:val="21"/>
              </w:rPr>
              <w:t>TAT</w:t>
            </w:r>
            <w:r>
              <w:rPr>
                <w:rFonts w:ascii="仿宋_GB2312" w:eastAsia="仿宋_GB2312" w:hAnsi="仿宋_GB2312" w:cs="仿宋_GB2312" w:hint="eastAsia"/>
                <w:color w:val="000000"/>
                <w:szCs w:val="21"/>
              </w:rPr>
              <w:t>脱敏注射法。</w:t>
            </w:r>
          </w:p>
          <w:p w14:paraId="7D4782B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超声雾化吸入法的原理；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过敏性休克的临床表现及预防。</w:t>
            </w:r>
          </w:p>
          <w:p w14:paraId="3B6EE83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·了解：过敏反应的原因。</w:t>
            </w:r>
          </w:p>
          <w:p w14:paraId="28D0883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63074D5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·能进行雾化吸入，雾量、时间控制良好；</w:t>
            </w:r>
          </w:p>
          <w:p w14:paraId="2A2F2A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·能配制常用过敏药物的过敏试验液，做到剂量准确；</w:t>
            </w:r>
          </w:p>
          <w:p w14:paraId="6E738CD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·能进行脱敏注射，间隔时间、注入剂量准确；</w:t>
            </w:r>
          </w:p>
          <w:p w14:paraId="61EF26E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·能进行药物过敏试验，并正确判断试验结果。</w:t>
            </w:r>
          </w:p>
        </w:tc>
        <w:tc>
          <w:tcPr>
            <w:tcW w:w="2078" w:type="dxa"/>
            <w:tcBorders>
              <w:left w:val="single" w:sz="6" w:space="0" w:color="auto"/>
              <w:right w:val="single" w:sz="6" w:space="0" w:color="auto"/>
            </w:tcBorders>
            <w:vAlign w:val="center"/>
          </w:tcPr>
          <w:p w14:paraId="2EB3CC6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·案例导入</w:t>
            </w:r>
          </w:p>
          <w:p w14:paraId="42B446A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1907755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4E2C9FE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·情景演示（过敏性休克处理措施）</w:t>
            </w:r>
          </w:p>
          <w:p w14:paraId="20FF6E4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02379D2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2A957DF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440E7CE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7ADA39F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20EE1A8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697CCBF7"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3FD29A59" w14:textId="77777777">
        <w:trPr>
          <w:trHeight w:val="261"/>
          <w:jc w:val="center"/>
        </w:trPr>
        <w:tc>
          <w:tcPr>
            <w:tcW w:w="516" w:type="dxa"/>
            <w:tcBorders>
              <w:left w:val="single" w:sz="6" w:space="0" w:color="auto"/>
              <w:right w:val="single" w:sz="6" w:space="0" w:color="auto"/>
            </w:tcBorders>
            <w:vAlign w:val="center"/>
          </w:tcPr>
          <w:p w14:paraId="4E66AD83"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17</w:t>
            </w:r>
          </w:p>
        </w:tc>
        <w:tc>
          <w:tcPr>
            <w:tcW w:w="1413" w:type="dxa"/>
            <w:tcBorders>
              <w:left w:val="single" w:sz="6" w:space="0" w:color="auto"/>
              <w:right w:val="single" w:sz="6" w:space="0" w:color="auto"/>
            </w:tcBorders>
            <w:vAlign w:val="center"/>
          </w:tcPr>
          <w:p w14:paraId="541B490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掌握静脉输液技术</w:t>
            </w:r>
          </w:p>
        </w:tc>
        <w:tc>
          <w:tcPr>
            <w:tcW w:w="4330" w:type="dxa"/>
            <w:tcBorders>
              <w:left w:val="single" w:sz="6" w:space="0" w:color="auto"/>
              <w:right w:val="single" w:sz="6" w:space="0" w:color="auto"/>
            </w:tcBorders>
          </w:tcPr>
          <w:p w14:paraId="35CDE54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6E22DD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静脉输液的目的和适应症、用物准备、常用部位及操作步骤；</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输液反应及其防治；</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 MERGEFORMAT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静脉留置针的操作方法。</w:t>
            </w:r>
          </w:p>
          <w:p w14:paraId="1E0632E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t>PICC</w:t>
            </w:r>
            <w:r>
              <w:rPr>
                <w:rFonts w:ascii="仿宋_GB2312" w:eastAsia="仿宋_GB2312" w:hAnsi="仿宋_GB2312" w:cs="仿宋_GB2312" w:hint="eastAsia"/>
                <w:color w:val="000000"/>
                <w:szCs w:val="21"/>
              </w:rPr>
              <w:t>穿刺技术及“输液港”的应用范围。</w:t>
            </w:r>
          </w:p>
          <w:p w14:paraId="6EDC9E6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·了解：颈外静脉、锁骨下静脉插管输液法的目的、部位。</w:t>
            </w:r>
          </w:p>
          <w:p w14:paraId="20B62D1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7EB8FA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·会静脉输液，能正确调节滴速、处理输液故障；</w:t>
            </w:r>
          </w:p>
          <w:p w14:paraId="72F31FD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·能观察输液反应，判断出现的问题并及时处置；</w:t>
            </w:r>
          </w:p>
          <w:p w14:paraId="741A101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·会使用微量注射泵和输液泵，能正确调</w:t>
            </w:r>
            <w:r>
              <w:rPr>
                <w:rFonts w:ascii="仿宋_GB2312" w:eastAsia="仿宋_GB2312" w:hAnsi="仿宋_GB2312" w:cs="仿宋_GB2312" w:hint="eastAsia"/>
                <w:color w:val="000000"/>
                <w:szCs w:val="21"/>
              </w:rPr>
              <w:lastRenderedPageBreak/>
              <w:t>节注射速度。</w:t>
            </w:r>
          </w:p>
        </w:tc>
        <w:tc>
          <w:tcPr>
            <w:tcW w:w="2078" w:type="dxa"/>
            <w:tcBorders>
              <w:left w:val="single" w:sz="6" w:space="0" w:color="auto"/>
              <w:right w:val="single" w:sz="6" w:space="0" w:color="auto"/>
            </w:tcBorders>
            <w:vAlign w:val="center"/>
          </w:tcPr>
          <w:p w14:paraId="26E9169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57150BB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·画图列表</w:t>
            </w:r>
          </w:p>
          <w:p w14:paraId="5D6ED89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007848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217354E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608D0FF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·综合情景训练、角色扮演</w:t>
            </w:r>
          </w:p>
          <w:p w14:paraId="1EAB3BB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·实训操作练习</w:t>
            </w:r>
          </w:p>
          <w:p w14:paraId="2A1F5CC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·学生自评</w:t>
            </w:r>
          </w:p>
          <w:p w14:paraId="10375B6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·教师考核</w:t>
            </w:r>
          </w:p>
          <w:p w14:paraId="36BAEDE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3C450B63"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18F4FE01" w14:textId="77777777">
        <w:trPr>
          <w:trHeight w:val="1095"/>
          <w:jc w:val="center"/>
        </w:trPr>
        <w:tc>
          <w:tcPr>
            <w:tcW w:w="516" w:type="dxa"/>
            <w:tcBorders>
              <w:left w:val="single" w:sz="6" w:space="0" w:color="auto"/>
              <w:right w:val="single" w:sz="6" w:space="0" w:color="auto"/>
            </w:tcBorders>
            <w:vAlign w:val="center"/>
          </w:tcPr>
          <w:p w14:paraId="0D7829D1"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18</w:t>
            </w:r>
          </w:p>
        </w:tc>
        <w:tc>
          <w:tcPr>
            <w:tcW w:w="1413" w:type="dxa"/>
            <w:tcBorders>
              <w:left w:val="single" w:sz="6" w:space="0" w:color="auto"/>
              <w:right w:val="single" w:sz="6" w:space="0" w:color="auto"/>
            </w:tcBorders>
            <w:vAlign w:val="center"/>
          </w:tcPr>
          <w:p w14:paraId="55E8F677"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65440E44"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EE43B23"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14BDB843"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4D52904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3758E2A"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FDBDF0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掌握静脉输液与输血技术</w:t>
            </w:r>
          </w:p>
        </w:tc>
        <w:tc>
          <w:tcPr>
            <w:tcW w:w="4330" w:type="dxa"/>
            <w:tcBorders>
              <w:left w:val="single" w:sz="6" w:space="0" w:color="auto"/>
              <w:right w:val="single" w:sz="6" w:space="0" w:color="auto"/>
            </w:tcBorders>
          </w:tcPr>
          <w:p w14:paraId="310941C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4B2C53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·掌握：输血操作方法，输血前的准备，输血反应及其防护。</w:t>
            </w:r>
          </w:p>
          <w:p w14:paraId="7E9E162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·熟悉：输血的目的和适应症。</w:t>
            </w:r>
          </w:p>
          <w:p w14:paraId="11C5A85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·了解：血型、交叉配血试验、血液制品的种类及特点。</w:t>
            </w:r>
          </w:p>
          <w:p w14:paraId="66D721E3"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663BE1F8"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·能采集交叉配血标本，确保人、单、管正确；</w:t>
            </w:r>
          </w:p>
          <w:p w14:paraId="2258E58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·会检查血液制品的质量，做到两人检查，三查八对；</w:t>
            </w:r>
          </w:p>
          <w:p w14:paraId="4769236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·能进行静脉输血，并根据病情调节滴速，排除输血过程中出现的故障；</w:t>
            </w:r>
          </w:p>
          <w:p w14:paraId="277F562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·能发现和处理输血反应。</w:t>
            </w:r>
          </w:p>
        </w:tc>
        <w:tc>
          <w:tcPr>
            <w:tcW w:w="2078" w:type="dxa"/>
            <w:tcBorders>
              <w:left w:val="single" w:sz="6" w:space="0" w:color="auto"/>
              <w:right w:val="single" w:sz="6" w:space="0" w:color="auto"/>
            </w:tcBorders>
            <w:vAlign w:val="center"/>
          </w:tcPr>
          <w:p w14:paraId="5B199B3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006486E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·实物展示</w:t>
            </w:r>
          </w:p>
          <w:p w14:paraId="2B97A09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·任务驱动教学</w:t>
            </w:r>
          </w:p>
          <w:p w14:paraId="72F95AF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632372DF"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61FAB73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·综合情景训练</w:t>
            </w:r>
          </w:p>
          <w:p w14:paraId="6A54A46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4C331BC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5FBE0C91"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61BD4DA1" w14:textId="77777777">
        <w:trPr>
          <w:trHeight w:val="1092"/>
          <w:jc w:val="center"/>
        </w:trPr>
        <w:tc>
          <w:tcPr>
            <w:tcW w:w="516" w:type="dxa"/>
            <w:tcBorders>
              <w:left w:val="single" w:sz="6" w:space="0" w:color="auto"/>
              <w:right w:val="single" w:sz="6" w:space="0" w:color="auto"/>
            </w:tcBorders>
            <w:vAlign w:val="center"/>
          </w:tcPr>
          <w:p w14:paraId="09C1325A"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19</w:t>
            </w:r>
          </w:p>
        </w:tc>
        <w:tc>
          <w:tcPr>
            <w:tcW w:w="1413" w:type="dxa"/>
            <w:tcBorders>
              <w:left w:val="single" w:sz="6" w:space="0" w:color="auto"/>
              <w:right w:val="single" w:sz="6" w:space="0" w:color="auto"/>
            </w:tcBorders>
            <w:vAlign w:val="center"/>
          </w:tcPr>
          <w:p w14:paraId="53B54CD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掌握标本采集技术</w:t>
            </w:r>
          </w:p>
        </w:tc>
        <w:tc>
          <w:tcPr>
            <w:tcW w:w="4330" w:type="dxa"/>
            <w:tcBorders>
              <w:left w:val="single" w:sz="6" w:space="0" w:color="auto"/>
              <w:right w:val="single" w:sz="6" w:space="0" w:color="auto"/>
            </w:tcBorders>
          </w:tcPr>
          <w:p w14:paraId="6D5172A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68A934E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标本采集的原则；</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静脉血标本、尿标本和粪标本采集的方法。</w:t>
            </w:r>
          </w:p>
          <w:p w14:paraId="3E5E9A7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·熟悉：痰标本、咽拭子标本采集法。</w:t>
            </w:r>
          </w:p>
          <w:p w14:paraId="4E57C0C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标本采集的意义、呕吐物标本采集法；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标本采集及真空负压管的不同颜色的意义。</w:t>
            </w:r>
          </w:p>
          <w:p w14:paraId="178CA44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9874B4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·具备各种标本采集的基本知识；</w:t>
            </w:r>
          </w:p>
          <w:p w14:paraId="265EC21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·具有正确采集痰标本、咽拭子培养标本、血液标本、尿标本、粪便标本、呕吐标本的能力；</w:t>
            </w:r>
          </w:p>
          <w:p w14:paraId="1C4814F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·会正确采集血、尿、粪标本；能根据不同的检查目的选择合适的标本容器及尿液防腐剂；</w:t>
            </w:r>
          </w:p>
          <w:p w14:paraId="145A0FB2"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·细致、认真，做好查对工作，标本及时送检，确保标本质量。</w:t>
            </w:r>
          </w:p>
        </w:tc>
        <w:tc>
          <w:tcPr>
            <w:tcW w:w="2078" w:type="dxa"/>
            <w:tcBorders>
              <w:left w:val="single" w:sz="6" w:space="0" w:color="auto"/>
              <w:right w:val="single" w:sz="6" w:space="0" w:color="auto"/>
            </w:tcBorders>
            <w:vAlign w:val="center"/>
          </w:tcPr>
          <w:p w14:paraId="5E18D4B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79A53B0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·实物展示</w:t>
            </w:r>
          </w:p>
          <w:p w14:paraId="52D697D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0D8C0FB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5143959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·操作演示</w:t>
            </w:r>
          </w:p>
          <w:p w14:paraId="28CE2E2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·指导评价</w:t>
            </w:r>
          </w:p>
          <w:p w14:paraId="08CD4A6A"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·用云平台进行评价及考核</w:t>
            </w:r>
          </w:p>
        </w:tc>
        <w:tc>
          <w:tcPr>
            <w:tcW w:w="826" w:type="dxa"/>
            <w:tcBorders>
              <w:left w:val="single" w:sz="6" w:space="0" w:color="auto"/>
              <w:right w:val="single" w:sz="6" w:space="0" w:color="auto"/>
            </w:tcBorders>
            <w:vAlign w:val="center"/>
          </w:tcPr>
          <w:p w14:paraId="46AC797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6698128C" w14:textId="77777777">
        <w:trPr>
          <w:trHeight w:val="1092"/>
          <w:jc w:val="center"/>
        </w:trPr>
        <w:tc>
          <w:tcPr>
            <w:tcW w:w="516" w:type="dxa"/>
            <w:tcBorders>
              <w:left w:val="single" w:sz="6" w:space="0" w:color="auto"/>
              <w:right w:val="single" w:sz="6" w:space="0" w:color="auto"/>
            </w:tcBorders>
            <w:vAlign w:val="center"/>
          </w:tcPr>
          <w:p w14:paraId="3658138C"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20</w:t>
            </w:r>
          </w:p>
        </w:tc>
        <w:tc>
          <w:tcPr>
            <w:tcW w:w="1413" w:type="dxa"/>
            <w:tcBorders>
              <w:left w:val="single" w:sz="6" w:space="0" w:color="auto"/>
              <w:right w:val="single" w:sz="6" w:space="0" w:color="auto"/>
            </w:tcBorders>
            <w:vAlign w:val="center"/>
          </w:tcPr>
          <w:p w14:paraId="6BF2B793"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9797AD0"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24695382"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7B562D0"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49CB56F"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AE91E26"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2C363B79"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3794561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危重病人的病情观察及护理</w:t>
            </w:r>
          </w:p>
        </w:tc>
        <w:tc>
          <w:tcPr>
            <w:tcW w:w="4330" w:type="dxa"/>
            <w:tcBorders>
              <w:left w:val="single" w:sz="6" w:space="0" w:color="auto"/>
              <w:right w:val="single" w:sz="6" w:space="0" w:color="auto"/>
            </w:tcBorders>
          </w:tcPr>
          <w:p w14:paraId="50B88979"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527ED93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抢救物品“五定”的内容；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鼻导管及面罩吸氧、中心供氧及氧气筒给氧法；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电动吸引器吸痰法、中心吸引吸痰法；④吸氧和吸痰的注意事项；⑤洗胃法、简易呼吸器的使用。</w:t>
            </w:r>
          </w:p>
          <w:p w14:paraId="6760399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病情观察的内容；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洗胃的目的和常用洗胃溶液；</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危重病人的基础护理；④供氧的装置及其作用；⑤缺氧程度的判断、缺氧的种类和氧疗效果的判断。</w:t>
            </w:r>
          </w:p>
          <w:p w14:paraId="718F6166"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病情观察的方法；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抢救工作的管理与抢救设备；</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人工呼吸机的使用方法；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4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④</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危重病人的心理护理。</w:t>
            </w:r>
          </w:p>
          <w:p w14:paraId="249881B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09B40BB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·会观察病人病情的变化；</w:t>
            </w:r>
          </w:p>
          <w:p w14:paraId="5B31351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·能进行氧气流量的计算；</w:t>
            </w:r>
          </w:p>
          <w:p w14:paraId="09CF224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·熟练进行吸氧、吸痰的操作；</w:t>
            </w:r>
          </w:p>
          <w:p w14:paraId="6A63C77A"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·会正确选择、使用洗胃液；</w:t>
            </w:r>
          </w:p>
          <w:p w14:paraId="10E8758E"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·能对危重病人实施有效的护理措施，预防并发症。</w:t>
            </w:r>
          </w:p>
        </w:tc>
        <w:tc>
          <w:tcPr>
            <w:tcW w:w="2078" w:type="dxa"/>
            <w:tcBorders>
              <w:left w:val="single" w:sz="6" w:space="0" w:color="auto"/>
              <w:right w:val="single" w:sz="6" w:space="0" w:color="auto"/>
            </w:tcBorders>
            <w:vAlign w:val="center"/>
          </w:tcPr>
          <w:p w14:paraId="40F2811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324EDAD2"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·观看录像、视频</w:t>
            </w:r>
          </w:p>
          <w:p w14:paraId="162D7C1D"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·小组讨论：病案分析</w:t>
            </w:r>
          </w:p>
          <w:p w14:paraId="69FF257F" w14:textId="77777777" w:rsidR="00000000" w:rsidRDefault="00000000">
            <w:pPr>
              <w:autoSpaceDE w:val="0"/>
              <w:autoSpaceDN w:val="0"/>
              <w:spacing w:line="460" w:lineRule="atLeast"/>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·参观模拟</w:t>
            </w:r>
            <w:r>
              <w:rPr>
                <w:rFonts w:ascii="仿宋_GB2312" w:eastAsia="仿宋_GB2312" w:hAnsi="仿宋_GB2312" w:cs="仿宋_GB2312"/>
                <w:color w:val="000000"/>
                <w:szCs w:val="21"/>
              </w:rPr>
              <w:t>ICU</w:t>
            </w:r>
            <w:r>
              <w:rPr>
                <w:rFonts w:ascii="仿宋_GB2312" w:eastAsia="仿宋_GB2312" w:hAnsi="仿宋_GB2312" w:cs="仿宋_GB2312" w:hint="eastAsia"/>
                <w:color w:val="000000"/>
                <w:szCs w:val="21"/>
              </w:rPr>
              <w:t>病房</w:t>
            </w:r>
          </w:p>
        </w:tc>
        <w:tc>
          <w:tcPr>
            <w:tcW w:w="826" w:type="dxa"/>
            <w:tcBorders>
              <w:left w:val="single" w:sz="6" w:space="0" w:color="auto"/>
              <w:right w:val="single" w:sz="6" w:space="0" w:color="auto"/>
            </w:tcBorders>
            <w:vAlign w:val="center"/>
          </w:tcPr>
          <w:p w14:paraId="7C4E657B"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17DAA78F" w14:textId="77777777">
        <w:trPr>
          <w:trHeight w:val="1092"/>
          <w:jc w:val="center"/>
        </w:trPr>
        <w:tc>
          <w:tcPr>
            <w:tcW w:w="516" w:type="dxa"/>
            <w:tcBorders>
              <w:left w:val="single" w:sz="6" w:space="0" w:color="auto"/>
              <w:right w:val="single" w:sz="6" w:space="0" w:color="auto"/>
            </w:tcBorders>
            <w:vAlign w:val="center"/>
          </w:tcPr>
          <w:p w14:paraId="730C703B"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21</w:t>
            </w:r>
          </w:p>
        </w:tc>
        <w:tc>
          <w:tcPr>
            <w:tcW w:w="1413" w:type="dxa"/>
            <w:tcBorders>
              <w:left w:val="single" w:sz="6" w:space="0" w:color="auto"/>
              <w:right w:val="single" w:sz="6" w:space="0" w:color="auto"/>
            </w:tcBorders>
            <w:vAlign w:val="center"/>
          </w:tcPr>
          <w:p w14:paraId="3F3A6C70"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掌握临终病人的护理</w:t>
            </w:r>
          </w:p>
        </w:tc>
        <w:tc>
          <w:tcPr>
            <w:tcW w:w="4330" w:type="dxa"/>
            <w:tcBorders>
              <w:left w:val="single" w:sz="6" w:space="0" w:color="auto"/>
              <w:right w:val="single" w:sz="6" w:space="0" w:color="auto"/>
            </w:tcBorders>
          </w:tcPr>
          <w:p w14:paraId="3F5ED8D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34B13C8B"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临终关怀的概念、濒死及死亡的定义、脑死亡的标准；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临终病人的心理变化和护理。</w:t>
            </w:r>
          </w:p>
          <w:p w14:paraId="0E6C802F"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死亡过程的分期；</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临终病人的生理变化和护理。</w:t>
            </w:r>
          </w:p>
          <w:p w14:paraId="737E3CD3"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临终关怀的理念、安乐死、临</w:t>
            </w:r>
            <w:r>
              <w:rPr>
                <w:rFonts w:ascii="仿宋_GB2312" w:eastAsia="仿宋_GB2312" w:hAnsi="仿宋_GB2312" w:cs="仿宋_GB2312" w:hint="eastAsia"/>
                <w:color w:val="000000"/>
                <w:szCs w:val="21"/>
              </w:rPr>
              <w:lastRenderedPageBreak/>
              <w:t>终病人家属的护理；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尸体护理的目的。</w:t>
            </w:r>
          </w:p>
          <w:p w14:paraId="4CF05BDE"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3C013F2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·能根据临终患者的情绪、行为，判断其心理反应分期；</w:t>
            </w:r>
          </w:p>
          <w:p w14:paraId="16E14790"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·能为临终病人及家属提供护理；</w:t>
            </w:r>
          </w:p>
          <w:p w14:paraId="5B832B3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·能利用模拟人完成尸体护理。</w:t>
            </w:r>
          </w:p>
        </w:tc>
        <w:tc>
          <w:tcPr>
            <w:tcW w:w="2078" w:type="dxa"/>
            <w:tcBorders>
              <w:left w:val="single" w:sz="6" w:space="0" w:color="auto"/>
              <w:right w:val="single" w:sz="6" w:space="0" w:color="auto"/>
            </w:tcBorders>
            <w:vAlign w:val="center"/>
          </w:tcPr>
          <w:p w14:paraId="521DB6E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·讲授，多媒体展示</w:t>
            </w:r>
          </w:p>
          <w:p w14:paraId="58FE47D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w:t>
            </w:r>
            <w:r>
              <w:rPr>
                <w:rFonts w:ascii="仿宋_GB2312" w:eastAsia="仿宋_GB2312" w:hAnsi="仿宋_GB2312" w:cs="仿宋_GB2312"/>
                <w:color w:val="000000"/>
                <w:szCs w:val="21"/>
              </w:rPr>
              <w:t>PBL</w:t>
            </w:r>
            <w:r>
              <w:rPr>
                <w:rFonts w:ascii="仿宋_GB2312" w:eastAsia="仿宋_GB2312" w:hAnsi="仿宋_GB2312" w:cs="仿宋_GB2312" w:hint="eastAsia"/>
                <w:color w:val="000000"/>
                <w:szCs w:val="21"/>
              </w:rPr>
              <w:t>教学</w:t>
            </w:r>
          </w:p>
          <w:p w14:paraId="2E168BA6"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·观看录像</w:t>
            </w:r>
          </w:p>
          <w:p w14:paraId="31F82DE8"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·模拟情景练习：角色扮演（出院指导和宣教）</w:t>
            </w:r>
          </w:p>
          <w:p w14:paraId="1905E58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观看视频</w:t>
            </w:r>
          </w:p>
          <w:p w14:paraId="1242B054"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lastRenderedPageBreak/>
              <w:t>模拟演练：演示尸体护理技术，练习</w:t>
            </w:r>
          </w:p>
        </w:tc>
        <w:tc>
          <w:tcPr>
            <w:tcW w:w="826" w:type="dxa"/>
            <w:tcBorders>
              <w:left w:val="single" w:sz="6" w:space="0" w:color="auto"/>
              <w:right w:val="single" w:sz="6" w:space="0" w:color="auto"/>
            </w:tcBorders>
            <w:vAlign w:val="center"/>
          </w:tcPr>
          <w:p w14:paraId="237342E9"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r w:rsidR="00000000" w14:paraId="4E583243" w14:textId="77777777">
        <w:trPr>
          <w:trHeight w:val="1092"/>
          <w:jc w:val="center"/>
        </w:trPr>
        <w:tc>
          <w:tcPr>
            <w:tcW w:w="516" w:type="dxa"/>
            <w:tcBorders>
              <w:left w:val="single" w:sz="6" w:space="0" w:color="auto"/>
              <w:right w:val="single" w:sz="6" w:space="0" w:color="auto"/>
            </w:tcBorders>
            <w:vAlign w:val="center"/>
          </w:tcPr>
          <w:p w14:paraId="3A5AD44B" w14:textId="77777777" w:rsidR="00000000" w:rsidRDefault="00000000">
            <w:pPr>
              <w:autoSpaceDE w:val="0"/>
              <w:autoSpaceDN w:val="0"/>
              <w:spacing w:line="460" w:lineRule="atLeast"/>
              <w:jc w:val="center"/>
              <w:rPr>
                <w:rFonts w:hint="eastAsia"/>
                <w:color w:val="000000"/>
                <w:szCs w:val="21"/>
              </w:rPr>
            </w:pPr>
            <w:r>
              <w:rPr>
                <w:rFonts w:hint="eastAsia"/>
                <w:color w:val="000000"/>
                <w:szCs w:val="21"/>
              </w:rPr>
              <w:t>22</w:t>
            </w:r>
          </w:p>
        </w:tc>
        <w:tc>
          <w:tcPr>
            <w:tcW w:w="1413" w:type="dxa"/>
            <w:tcBorders>
              <w:left w:val="single" w:sz="6" w:space="0" w:color="auto"/>
              <w:right w:val="single" w:sz="6" w:space="0" w:color="auto"/>
            </w:tcBorders>
            <w:vAlign w:val="center"/>
          </w:tcPr>
          <w:p w14:paraId="498F15B1"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113FF5FB"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DCC470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00CD646F"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6292B31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掌握医疗及护理文件的记录</w:t>
            </w:r>
          </w:p>
        </w:tc>
        <w:tc>
          <w:tcPr>
            <w:tcW w:w="4330" w:type="dxa"/>
            <w:tcBorders>
              <w:left w:val="single" w:sz="6" w:space="0" w:color="auto"/>
              <w:right w:val="single" w:sz="6" w:space="0" w:color="auto"/>
            </w:tcBorders>
          </w:tcPr>
          <w:p w14:paraId="30ED5F1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课程内容：</w:t>
            </w:r>
          </w:p>
          <w:p w14:paraId="1D668DBD"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·掌握：</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病案的记录要求；</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体温单的绘制；</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医嘱的种类及处理方法。</w:t>
            </w:r>
          </w:p>
          <w:p w14:paraId="025859F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·熟悉：</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出入液量的记录；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特别护理记录单的记录内容及方法；</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病室报告的书写顺序。</w:t>
            </w:r>
          </w:p>
          <w:p w14:paraId="12800517"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·了解：</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1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①</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病案的重要性及其管理；</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2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②</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医嘱的内容；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3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③</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交班的内容；</w:t>
            </w:r>
            <w:r>
              <w:rPr>
                <w:rFonts w:ascii="仿宋_GB2312" w:eastAsia="仿宋_GB2312" w:hAnsi="仿宋_GB2312" w:cs="仿宋_GB2312"/>
                <w:color w:val="000000"/>
                <w:szCs w:val="21"/>
              </w:rPr>
              <w:fldChar w:fldCharType="begin"/>
            </w:r>
            <w:r>
              <w:rPr>
                <w:rFonts w:ascii="仿宋_GB2312" w:eastAsia="仿宋_GB2312" w:hAnsi="仿宋_GB2312" w:cs="仿宋_GB2312"/>
                <w:color w:val="000000"/>
                <w:szCs w:val="21"/>
              </w:rPr>
              <w:instrText xml:space="preserve"> = 4 \* GB3 </w:instrText>
            </w:r>
            <w:r>
              <w:rPr>
                <w:rFonts w:ascii="仿宋_GB2312" w:eastAsia="仿宋_GB2312" w:hAnsi="仿宋_GB2312" w:cs="仿宋_GB2312"/>
                <w:color w:val="000000"/>
                <w:szCs w:val="21"/>
              </w:rPr>
              <w:fldChar w:fldCharType="separate"/>
            </w:r>
            <w:r>
              <w:rPr>
                <w:rFonts w:ascii="仿宋_GB2312" w:eastAsia="仿宋_GB2312" w:hAnsi="仿宋_GB2312" w:cs="仿宋_GB2312" w:hint="eastAsia"/>
                <w:color w:val="000000"/>
                <w:szCs w:val="21"/>
              </w:rPr>
              <w:t>④</w:t>
            </w:r>
            <w:r>
              <w:rPr>
                <w:rFonts w:ascii="仿宋_GB2312" w:eastAsia="仿宋_GB2312" w:hAnsi="仿宋_GB2312" w:cs="仿宋_GB2312"/>
                <w:color w:val="000000"/>
                <w:szCs w:val="21"/>
              </w:rPr>
              <w:fldChar w:fldCharType="end"/>
            </w:r>
            <w:r>
              <w:rPr>
                <w:rFonts w:ascii="仿宋_GB2312" w:eastAsia="仿宋_GB2312" w:hAnsi="仿宋_GB2312" w:cs="仿宋_GB2312" w:hint="eastAsia"/>
                <w:color w:val="000000"/>
                <w:szCs w:val="21"/>
              </w:rPr>
              <w:t>护理病案的使用。</w:t>
            </w:r>
          </w:p>
          <w:p w14:paraId="54500B37"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教学要求</w:t>
            </w:r>
          </w:p>
          <w:p w14:paraId="1DCB0EE1"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·能正确进行护理文件的记录；</w:t>
            </w:r>
          </w:p>
          <w:p w14:paraId="120695AC"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·能正确处理医嘱，做到准确、及时；</w:t>
            </w:r>
          </w:p>
          <w:p w14:paraId="21A8A959" w14:textId="77777777" w:rsidR="00000000" w:rsidRDefault="00000000">
            <w:pPr>
              <w:autoSpaceDE w:val="0"/>
              <w:autoSpaceDN w:val="0"/>
              <w:spacing w:line="460" w:lineRule="atLeas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·能按要求正确绘制体温单。</w:t>
            </w:r>
          </w:p>
        </w:tc>
        <w:tc>
          <w:tcPr>
            <w:tcW w:w="2078" w:type="dxa"/>
            <w:tcBorders>
              <w:left w:val="single" w:sz="6" w:space="0" w:color="auto"/>
              <w:right w:val="single" w:sz="6" w:space="0" w:color="auto"/>
            </w:tcBorders>
          </w:tcPr>
          <w:p w14:paraId="5E758835"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5DF74107" w14:textId="77777777" w:rsidR="00000000" w:rsidRDefault="00000000">
            <w:pPr>
              <w:autoSpaceDE w:val="0"/>
              <w:autoSpaceDN w:val="0"/>
              <w:spacing w:line="460" w:lineRule="atLeast"/>
              <w:rPr>
                <w:rFonts w:ascii="仿宋_GB2312" w:eastAsia="仿宋_GB2312" w:hAnsi="仿宋_GB2312" w:cs="仿宋_GB2312"/>
                <w:color w:val="000000"/>
                <w:szCs w:val="21"/>
              </w:rPr>
            </w:pPr>
          </w:p>
          <w:p w14:paraId="71869955"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·讲授，多媒体展示</w:t>
            </w:r>
          </w:p>
          <w:p w14:paraId="53B55261"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·出示医疗文件和病历：指导学生</w:t>
            </w:r>
          </w:p>
          <w:p w14:paraId="6E2640DB"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处理医嘱</w:t>
            </w:r>
          </w:p>
          <w:p w14:paraId="4C9307CC" w14:textId="77777777" w:rsidR="00000000" w:rsidRDefault="00000000">
            <w:pPr>
              <w:autoSpaceDE w:val="0"/>
              <w:autoSpaceDN w:val="0"/>
              <w:spacing w:line="46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·提供病例：学生练习体温单绘制、评价指导</w:t>
            </w:r>
          </w:p>
        </w:tc>
        <w:tc>
          <w:tcPr>
            <w:tcW w:w="826" w:type="dxa"/>
            <w:tcBorders>
              <w:left w:val="single" w:sz="6" w:space="0" w:color="auto"/>
              <w:right w:val="single" w:sz="6" w:space="0" w:color="auto"/>
            </w:tcBorders>
            <w:vAlign w:val="center"/>
          </w:tcPr>
          <w:p w14:paraId="3F9EE8DD" w14:textId="77777777" w:rsidR="00000000" w:rsidRDefault="00000000">
            <w:pPr>
              <w:autoSpaceDE w:val="0"/>
              <w:autoSpaceDN w:val="0"/>
              <w:spacing w:line="460" w:lineRule="atLeast"/>
              <w:jc w:val="center"/>
              <w:rPr>
                <w:rFonts w:ascii="仿宋_GB2312" w:eastAsia="仿宋_GB2312" w:hAnsi="仿宋_GB2312" w:cs="仿宋_GB2312" w:hint="eastAsia"/>
                <w:color w:val="000000"/>
                <w:szCs w:val="21"/>
              </w:rPr>
            </w:pPr>
          </w:p>
        </w:tc>
      </w:tr>
    </w:tbl>
    <w:p w14:paraId="288D1539" w14:textId="77777777" w:rsidR="00830502" w:rsidRDefault="00830502">
      <w:pPr>
        <w:rPr>
          <w:rFonts w:ascii="仿宋_GB2312" w:eastAsia="仿宋_GB2312" w:hAnsi="仿宋_GB2312" w:cs="仿宋_GB2312" w:hint="eastAsia"/>
          <w:b/>
          <w:bCs/>
          <w:sz w:val="32"/>
          <w:szCs w:val="32"/>
        </w:rPr>
      </w:pPr>
    </w:p>
    <w:sectPr w:rsidR="00830502">
      <w:footerReference w:type="default" r:id="rId11"/>
      <w:footerReference w:type="first" r:id="rId12"/>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1FB14" w14:textId="77777777" w:rsidR="00830502" w:rsidRDefault="00830502">
      <w:r>
        <w:separator/>
      </w:r>
    </w:p>
  </w:endnote>
  <w:endnote w:type="continuationSeparator" w:id="0">
    <w:p w14:paraId="7D706729" w14:textId="77777777" w:rsidR="00830502" w:rsidRDefault="0083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C39C55F-8837-4B8B-9B86-E297A8FE71AF}"/>
    <w:embedBold r:id="rId2" w:subsetted="1" w:fontKey="{2D318713-BFD6-4A5D-BCC0-8A80754E68D6}"/>
  </w:font>
  <w:font w:name="仿宋_GB2312">
    <w:panose1 w:val="02010609030101010101"/>
    <w:charset w:val="86"/>
    <w:family w:val="modern"/>
    <w:pitch w:val="fixed"/>
    <w:sig w:usb0="00000001" w:usb1="080E0000" w:usb2="00000010" w:usb3="00000000" w:csb0="00040000" w:csb1="00000000"/>
    <w:embedRegular r:id="rId3" w:subsetted="1" w:fontKey="{37308BD6-CC3D-461F-B673-96B41AEED3C9}"/>
    <w:embedBold r:id="rId4" w:subsetted="1" w:fontKey="{BDACADD7-D164-49D2-903A-506241AEAE8A}"/>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203ED051-7206-4BB1-A793-0B6D11FF9E92}"/>
    <w:embedBold r:id="rId6" w:subsetted="1" w:fontKey="{91BF22DE-8683-4F10-8474-A2CA67AC02B0}"/>
  </w:font>
  <w:font w:name="楷体_GB2312">
    <w:panose1 w:val="02010609030101010101"/>
    <w:charset w:val="86"/>
    <w:family w:val="modern"/>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63A" w14:textId="77777777" w:rsidR="00000000" w:rsidRDefault="00000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5E12" w14:textId="77777777" w:rsidR="00000000" w:rsidRDefault="00000000">
    <w:pPr>
      <w:pStyle w:val="a7"/>
    </w:pPr>
    <w:r>
      <w:pict w14:anchorId="1E44FA76">
        <v:shapetype id="_x0000_t202" coordsize="21600,21600" o:spt="202" path="m,l,21600r21600,l21600,xe">
          <v:stroke joinstyle="miter"/>
          <v:path gradientshapeok="t" o:connecttype="rect"/>
        </v:shapetype>
        <v:shape id="文本框 1025" o:spid="_x0000_s1025" type="#_x0000_t202" style="position:absolute;margin-left:0;margin-top:0;width:2in;height:2in;z-index:1;mso-wrap-style:none;mso-position-horizontal:center;mso-position-horizontal-relative:margin" filled="f" stroked="f">
          <v:fill o:detectmouseclick="t"/>
          <v:textbox style="mso-fit-shape-to-text:t" inset="0,0,0,0">
            <w:txbxContent>
              <w:p w14:paraId="53910D8A"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2307" w14:textId="77777777" w:rsidR="00000000" w:rsidRDefault="00000000">
    <w:pPr>
      <w:pStyle w:val="a7"/>
      <w:ind w:right="360" w:firstLine="360"/>
    </w:pPr>
    <w:r>
      <w:pict w14:anchorId="57494A98">
        <v:shapetype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mso-wrap-style:none;mso-position-horizontal:center;mso-position-horizontal-relative:margin" filled="f" stroked="f" strokeweight=".5pt">
          <v:textbox style="mso-fit-shape-to-text:t" inset="0,0,0,0">
            <w:txbxContent>
              <w:p w14:paraId="5905A9AF" w14:textId="77777777" w:rsidR="00000000" w:rsidRDefault="00000000">
                <w:pPr>
                  <w:pStyle w:val="a7"/>
                </w:pPr>
                <w:r>
                  <w:fldChar w:fldCharType="begin"/>
                </w:r>
                <w:r>
                  <w:rPr>
                    <w:rStyle w:val="a4"/>
                  </w:rPr>
                  <w:instrText xml:space="preserve"> PAGE  </w:instrText>
                </w:r>
                <w:r>
                  <w:fldChar w:fldCharType="separate"/>
                </w:r>
                <w:r>
                  <w:rPr>
                    <w:rStyle w:val="a4"/>
                  </w:rPr>
                  <w:t>1</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949E" w14:textId="77777777" w:rsidR="00000000" w:rsidRDefault="00000000">
    <w:pPr>
      <w:pStyle w:val="a7"/>
    </w:pPr>
    <w:r>
      <w:pict w14:anchorId="31BF9F3B">
        <v:shapetype id="_x0000_t202" coordsize="21600,21600" o:spt="202" path="m,l,21600r21600,l21600,xe">
          <v:stroke joinstyle="miter"/>
          <v:path gradientshapeok="t" o:connecttype="rect"/>
        </v:shapetype>
        <v:shape id="文本框 1026" o:spid="_x0000_s1026" type="#_x0000_t202" style="position:absolute;margin-left:0;margin-top:0;width:2in;height:2in;z-index:3;mso-wrap-style:none;mso-position-horizontal:center;mso-position-horizontal-relative:margin" filled="f" stroked="f">
          <v:fill o:detectmouseclick="t"/>
          <v:textbox style="mso-fit-shape-to-text:t" inset="0,0,0,0">
            <w:txbxContent>
              <w:p w14:paraId="734B1EA7"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23</w:t>
                </w:r>
                <w:r>
                  <w:rPr>
                    <w:rFonts w:hint="eastAsia"/>
                    <w:sz w:val="18"/>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CE4B" w14:textId="77777777" w:rsidR="00000000" w:rsidRDefault="00000000">
    <w:pPr>
      <w:pStyle w:val="a7"/>
    </w:pPr>
    <w:r>
      <w:pict w14:anchorId="1F4C777F">
        <v:shapetype id="_x0000_t202" coordsize="21600,21600" o:spt="202" path="m,l,21600r21600,l21600,xe">
          <v:stroke joinstyle="miter"/>
          <v:path gradientshapeok="t" o:connecttype="rect"/>
        </v:shapetype>
        <v:shape id="文本框 1027" o:spid="_x0000_s1027" type="#_x0000_t202" style="position:absolute;margin-left:0;margin-top:0;width:2in;height:2in;z-index:4;mso-wrap-style:none;mso-position-horizontal:center;mso-position-horizontal-relative:margin" filled="f" stroked="f">
          <v:fill o:detectmouseclick="t"/>
          <v:textbox style="mso-fit-shape-to-text:t" inset="0,0,0,0">
            <w:txbxContent>
              <w:p w14:paraId="7B05AD1E" w14:textId="77777777" w:rsidR="00000000" w:rsidRDefault="0000000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val="en-US" w:eastAsia="zh-CN"/>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CCD7" w14:textId="77777777" w:rsidR="00830502" w:rsidRDefault="00830502">
      <w:r>
        <w:separator/>
      </w:r>
    </w:p>
  </w:footnote>
  <w:footnote w:type="continuationSeparator" w:id="0">
    <w:p w14:paraId="5D417E29" w14:textId="77777777" w:rsidR="00830502" w:rsidRDefault="0083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6591" w14:textId="77777777" w:rsidR="00000000" w:rsidRDefault="000000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1C06A"/>
    <w:multiLevelType w:val="singleLevel"/>
    <w:tmpl w:val="ED51C06A"/>
    <w:lvl w:ilvl="0">
      <w:start w:val="2"/>
      <w:numFmt w:val="chineseCounting"/>
      <w:suff w:val="nothing"/>
      <w:lvlText w:val="%1、"/>
      <w:lvlJc w:val="left"/>
      <w:rPr>
        <w:rFonts w:cs="Times New Roman" w:hint="eastAsia"/>
      </w:rPr>
    </w:lvl>
  </w:abstractNum>
  <w:abstractNum w:abstractNumId="1" w15:restartNumberingAfterBreak="0">
    <w:nsid w:val="EE0FC37C"/>
    <w:multiLevelType w:val="singleLevel"/>
    <w:tmpl w:val="EE0FC37C"/>
    <w:lvl w:ilvl="0">
      <w:start w:val="2"/>
      <w:numFmt w:val="decimal"/>
      <w:lvlText w:val="%1."/>
      <w:lvlJc w:val="left"/>
      <w:pPr>
        <w:tabs>
          <w:tab w:val="num" w:pos="312"/>
        </w:tabs>
      </w:pPr>
    </w:lvl>
  </w:abstractNum>
  <w:abstractNum w:abstractNumId="2" w15:restartNumberingAfterBreak="0">
    <w:nsid w:val="06C7378D"/>
    <w:multiLevelType w:val="multilevel"/>
    <w:tmpl w:val="06C7378D"/>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15:restartNumberingAfterBreak="0">
    <w:nsid w:val="21643347"/>
    <w:multiLevelType w:val="multilevel"/>
    <w:tmpl w:val="21643347"/>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428CC544"/>
    <w:multiLevelType w:val="singleLevel"/>
    <w:tmpl w:val="428CC544"/>
    <w:lvl w:ilvl="0">
      <w:start w:val="6"/>
      <w:numFmt w:val="chineseCounting"/>
      <w:suff w:val="nothing"/>
      <w:lvlText w:val="%1、"/>
      <w:lvlJc w:val="left"/>
      <w:rPr>
        <w:rFonts w:hint="eastAsia"/>
      </w:rPr>
    </w:lvl>
  </w:abstractNum>
  <w:abstractNum w:abstractNumId="5" w15:restartNumberingAfterBreak="0">
    <w:nsid w:val="55B85039"/>
    <w:multiLevelType w:val="singleLevel"/>
    <w:tmpl w:val="55B85039"/>
    <w:lvl w:ilvl="0">
      <w:start w:val="2"/>
      <w:numFmt w:val="chineseCounting"/>
      <w:suff w:val="space"/>
      <w:lvlText w:val="(%1)"/>
      <w:lvlJc w:val="left"/>
      <w:rPr>
        <w:rFonts w:hint="eastAsia"/>
      </w:rPr>
    </w:lvl>
  </w:abstractNum>
  <w:abstractNum w:abstractNumId="6" w15:restartNumberingAfterBreak="0">
    <w:nsid w:val="731364F7"/>
    <w:multiLevelType w:val="multilevel"/>
    <w:tmpl w:val="731364F7"/>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16cid:durableId="38672833">
    <w:abstractNumId w:val="5"/>
  </w:num>
  <w:num w:numId="2" w16cid:durableId="672611136">
    <w:abstractNumId w:val="4"/>
  </w:num>
  <w:num w:numId="3" w16cid:durableId="1466895496">
    <w:abstractNumId w:val="1"/>
  </w:num>
  <w:num w:numId="4" w16cid:durableId="1595476773">
    <w:abstractNumId w:val="6"/>
  </w:num>
  <w:num w:numId="5" w16cid:durableId="1176456162">
    <w:abstractNumId w:val="2"/>
  </w:num>
  <w:num w:numId="6" w16cid:durableId="1774475182">
    <w:abstractNumId w:val="3"/>
  </w:num>
  <w:num w:numId="7" w16cid:durableId="200627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jViMjM2NTNkNjM2MGQ4YTE2NGVjYTgxZGNmNTFlNTkifQ=="/>
  </w:docVars>
  <w:rsids>
    <w:rsidRoot w:val="00CD03A3"/>
    <w:rsid w:val="00154863"/>
    <w:rsid w:val="0049254B"/>
    <w:rsid w:val="004C6A25"/>
    <w:rsid w:val="004D35B1"/>
    <w:rsid w:val="00742D7D"/>
    <w:rsid w:val="0074320E"/>
    <w:rsid w:val="008045F6"/>
    <w:rsid w:val="00830502"/>
    <w:rsid w:val="00A23793"/>
    <w:rsid w:val="00A813F4"/>
    <w:rsid w:val="00AA3C62"/>
    <w:rsid w:val="00CD03A3"/>
    <w:rsid w:val="00F10531"/>
    <w:rsid w:val="00F12C8C"/>
    <w:rsid w:val="00FF6798"/>
    <w:rsid w:val="01B93EE0"/>
    <w:rsid w:val="03243133"/>
    <w:rsid w:val="03816D4F"/>
    <w:rsid w:val="0A7F0E46"/>
    <w:rsid w:val="0BE5207C"/>
    <w:rsid w:val="0C8A21A0"/>
    <w:rsid w:val="0CF3634C"/>
    <w:rsid w:val="160E21CF"/>
    <w:rsid w:val="1A5204BD"/>
    <w:rsid w:val="1A97792D"/>
    <w:rsid w:val="1B1F0AD2"/>
    <w:rsid w:val="1BD937BC"/>
    <w:rsid w:val="1C297D63"/>
    <w:rsid w:val="1C656C23"/>
    <w:rsid w:val="1E937238"/>
    <w:rsid w:val="219F2875"/>
    <w:rsid w:val="228D4BBB"/>
    <w:rsid w:val="241738C6"/>
    <w:rsid w:val="25FF484B"/>
    <w:rsid w:val="26D43638"/>
    <w:rsid w:val="27C015C4"/>
    <w:rsid w:val="2B3866F7"/>
    <w:rsid w:val="2C0931CD"/>
    <w:rsid w:val="2C2C4E3E"/>
    <w:rsid w:val="2E8B3956"/>
    <w:rsid w:val="30E324A2"/>
    <w:rsid w:val="312B28BA"/>
    <w:rsid w:val="390E5F29"/>
    <w:rsid w:val="398648EE"/>
    <w:rsid w:val="39C1124F"/>
    <w:rsid w:val="3BFC7EF6"/>
    <w:rsid w:val="3C3663D5"/>
    <w:rsid w:val="40DE261A"/>
    <w:rsid w:val="41B05AB7"/>
    <w:rsid w:val="41D31103"/>
    <w:rsid w:val="43A8628C"/>
    <w:rsid w:val="44EE6FB3"/>
    <w:rsid w:val="4509750A"/>
    <w:rsid w:val="46120C85"/>
    <w:rsid w:val="48C66F74"/>
    <w:rsid w:val="48CD0C80"/>
    <w:rsid w:val="49796A18"/>
    <w:rsid w:val="4CE723F8"/>
    <w:rsid w:val="4E177D2B"/>
    <w:rsid w:val="4FE11F57"/>
    <w:rsid w:val="52201DD1"/>
    <w:rsid w:val="52CD6A64"/>
    <w:rsid w:val="55441982"/>
    <w:rsid w:val="564C0321"/>
    <w:rsid w:val="56E12A0D"/>
    <w:rsid w:val="592077C9"/>
    <w:rsid w:val="5AD75815"/>
    <w:rsid w:val="5B44044C"/>
    <w:rsid w:val="635C323C"/>
    <w:rsid w:val="64172445"/>
    <w:rsid w:val="642051B6"/>
    <w:rsid w:val="69F753E9"/>
    <w:rsid w:val="6B657311"/>
    <w:rsid w:val="6ED12B30"/>
    <w:rsid w:val="6F8A4A0A"/>
    <w:rsid w:val="71124DB0"/>
    <w:rsid w:val="7200119F"/>
    <w:rsid w:val="73245E1D"/>
    <w:rsid w:val="73EF26C0"/>
    <w:rsid w:val="78167A90"/>
    <w:rsid w:val="78F64EE9"/>
    <w:rsid w:val="799257FF"/>
    <w:rsid w:val="7B1227F8"/>
    <w:rsid w:val="7B6D0329"/>
    <w:rsid w:val="7C4E534B"/>
    <w:rsid w:val="7F122D08"/>
    <w:rsid w:val="7FC553AC"/>
    <w:rsid w:val="EF31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86068"/>
  <w15:chartTrackingRefBased/>
  <w15:docId w15:val="{E920FA79-5717-4396-B675-584CDBDF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page number"/>
    <w:rPr>
      <w:rFonts w:cs="Times New Roman"/>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 w:type="paragraph" w:styleId="a8">
    <w:name w:val="Body Text Indent"/>
    <w:basedOn w:val="a"/>
    <w:pPr>
      <w:spacing w:after="120"/>
      <w:ind w:leftChars="200" w:left="420"/>
    </w:pPr>
  </w:style>
  <w:style w:type="paragraph" w:customStyle="1" w:styleId="ListParagraph">
    <w:name w:val="List Paragraph"/>
    <w:basedOn w:val="a"/>
    <w:uiPriority w:val="34"/>
    <w:qFormat/>
    <w:pPr>
      <w:ind w:firstLineChars="200" w:firstLine="420"/>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4448</Words>
  <Characters>25357</Characters>
  <Application>Microsoft Office Word</Application>
  <DocSecurity>0</DocSecurity>
  <PresentationFormat/>
  <Lines>211</Lines>
  <Paragraphs>59</Paragraphs>
  <Slides>0</Slides>
  <Notes>0</Notes>
  <HiddenSlides>0</HiddenSlides>
  <MMClips>0</MMClips>
  <ScaleCrop>false</ScaleCrop>
  <Manager/>
  <Company/>
  <LinksUpToDate>false</LinksUpToDate>
  <CharactersWithSpaces>29746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s15610160961@163.com</cp:lastModifiedBy>
  <cp:revision>3</cp:revision>
  <cp:lastPrinted>2022-09-08T10:03:00Z</cp:lastPrinted>
  <dcterms:created xsi:type="dcterms:W3CDTF">2024-08-26T07:29:00Z</dcterms:created>
  <dcterms:modified xsi:type="dcterms:W3CDTF">2024-08-26T07:29:00Z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972AF498D34D4B8286F54E18608DEE54_13</vt:lpwstr>
  </property>
</Properties>
</file>